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E7ECDE">
      <w:pPr>
        <w:spacing w:before="480" w:after="480" w:line="288" w:lineRule="auto"/>
        <w:ind w:left="0" w:firstLine="520" w:firstLineChars="100"/>
      </w:pPr>
      <w:bookmarkStart w:id="4" w:name="_GoBack"/>
      <w:bookmarkEnd w:id="4"/>
      <w:r>
        <w:rPr>
          <w:rFonts w:ascii="Arial" w:hAnsi="Arial" w:eastAsia="等线" w:cs="Arial"/>
          <w:b/>
          <w:sz w:val="52"/>
        </w:rPr>
        <w:t>计量检测服务招标综合评分标准</w:t>
      </w:r>
    </w:p>
    <w:p w14:paraId="31AD7559">
      <w:pPr>
        <w:spacing w:before="120" w:after="120" w:line="288" w:lineRule="auto"/>
        <w:ind w:left="0" w:firstLine="220" w:firstLineChars="100"/>
        <w:jc w:val="left"/>
      </w:pPr>
      <w:r>
        <w:rPr>
          <w:rFonts w:ascii="Arial" w:hAnsi="Arial" w:eastAsia="等线" w:cs="Arial"/>
          <w:sz w:val="22"/>
        </w:rPr>
        <w:t>总分100分，由</w:t>
      </w:r>
      <w:r>
        <w:rPr>
          <w:rFonts w:ascii="Arial" w:hAnsi="Arial" w:eastAsia="等线" w:cs="Arial"/>
          <w:b/>
          <w:sz w:val="22"/>
        </w:rPr>
        <w:t>价格部分30分、技术部分45分、商务资信部分25分</w:t>
      </w:r>
      <w:r>
        <w:rPr>
          <w:rFonts w:ascii="Arial" w:hAnsi="Arial" w:eastAsia="等线" w:cs="Arial"/>
          <w:sz w:val="22"/>
        </w:rPr>
        <w:t>构成，评分结果四舍五入保留两位小数。</w:t>
      </w:r>
    </w:p>
    <w:p w14:paraId="7513FA2A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一、价格评分（满分30分）</w:t>
      </w:r>
      <w:bookmarkEnd w:id="0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60"/>
        <w:gridCol w:w="2760"/>
        <w:gridCol w:w="2760"/>
      </w:tblGrid>
      <w:tr w14:paraId="7583322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1DFAE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评审项目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A3E72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分值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424D2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评分计算方法及细则</w:t>
            </w:r>
          </w:p>
        </w:tc>
      </w:tr>
      <w:tr w14:paraId="7FE1890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DCA34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投标报价合理性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3C875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30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D1AC05">
            <w:pPr>
              <w:numPr>
                <w:ilvl w:val="0"/>
                <w:numId w:val="1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评标基准价：通过资格及实质性响应审查的</w:t>
            </w:r>
            <w:r>
              <w:rPr>
                <w:rFonts w:ascii="Arial" w:hAnsi="Arial" w:eastAsia="等线" w:cs="Arial"/>
                <w:b/>
                <w:sz w:val="22"/>
              </w:rPr>
              <w:t>最低有效投标报价</w:t>
            </w:r>
            <w:r>
              <w:rPr>
                <w:rFonts w:ascii="Arial" w:hAnsi="Arial" w:eastAsia="等线" w:cs="Arial"/>
                <w:sz w:val="22"/>
              </w:rPr>
              <w:t>；</w:t>
            </w:r>
          </w:p>
          <w:p w14:paraId="088CA5AC">
            <w:pPr>
              <w:numPr>
                <w:ilvl w:val="0"/>
                <w:numId w:val="2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评分公式：价格得分=（评标基准价÷投标报价）×30；</w:t>
            </w:r>
          </w:p>
          <w:p w14:paraId="6C091A61">
            <w:pPr>
              <w:numPr>
                <w:ilvl w:val="0"/>
                <w:numId w:val="3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报价高于市场合理均价、存在异常高价的，酌情扣1-5分；</w:t>
            </w:r>
          </w:p>
          <w:p w14:paraId="12275BC2">
            <w:pPr>
              <w:numPr>
                <w:ilvl w:val="0"/>
                <w:numId w:val="4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报价异常偏低且无法提供合理成本说明、存在恶意竞争风险的，做无效报价处理，得0分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。</w:t>
            </w:r>
          </w:p>
        </w:tc>
      </w:tr>
    </w:tbl>
    <w:p w14:paraId="1EA2C417">
      <w:pPr>
        <w:spacing w:before="320" w:after="120" w:line="288" w:lineRule="auto"/>
        <w:ind w:left="0"/>
        <w:jc w:val="left"/>
        <w:outlineLvl w:val="1"/>
      </w:pPr>
      <w:bookmarkStart w:id="1" w:name="heading_1"/>
      <w:r>
        <w:rPr>
          <w:rFonts w:ascii="Arial" w:hAnsi="Arial" w:eastAsia="等线" w:cs="Arial"/>
          <w:b/>
          <w:sz w:val="32"/>
        </w:rPr>
        <w:t>二、技术评分（满分45分，核心评审项）</w:t>
      </w:r>
      <w:bookmarkEnd w:id="1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70"/>
        <w:gridCol w:w="2070"/>
        <w:gridCol w:w="2070"/>
        <w:gridCol w:w="2070"/>
      </w:tblGrid>
      <w:tr w14:paraId="3403F2C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78D95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序号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1FA7E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评审项目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3EECC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分值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F5EA7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详细评分细则</w:t>
            </w:r>
          </w:p>
        </w:tc>
      </w:tr>
      <w:tr w14:paraId="71909EC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22A0D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5FD5B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整体检测实施方案针对性、完整性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10E1A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15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9E64B0">
            <w:pPr>
              <w:numPr>
                <w:ilvl w:val="0"/>
                <w:numId w:val="5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方案贴合医院设备清单，流程完整、分工明确、工期合理、应急保障完善，得12-15分；</w:t>
            </w:r>
          </w:p>
          <w:p w14:paraId="1164C071">
            <w:pPr>
              <w:numPr>
                <w:ilvl w:val="0"/>
                <w:numId w:val="6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方案基本符合需求，流程完整但针对性一般，得7-11分；</w:t>
            </w:r>
          </w:p>
          <w:p w14:paraId="7F4D085A">
            <w:pPr>
              <w:numPr>
                <w:ilvl w:val="0"/>
                <w:numId w:val="7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方案内容简略、流程缺失、无专属服务规划，得1-6分；</w:t>
            </w:r>
          </w:p>
          <w:p w14:paraId="44BC090C">
            <w:pPr>
              <w:numPr>
                <w:ilvl w:val="0"/>
                <w:numId w:val="8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未提供专项实施方案，得0分。</w:t>
            </w:r>
          </w:p>
        </w:tc>
      </w:tr>
      <w:tr w14:paraId="1EDA3A0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2ACD0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F0E06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资质能力与检测范围匹配度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2CAC7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12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EB56D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核心核查</w:t>
            </w:r>
            <w:r>
              <w:rPr>
                <w:rFonts w:ascii="Arial" w:hAnsi="Arial" w:eastAsia="等线" w:cs="Arial"/>
                <w:b/>
                <w:sz w:val="22"/>
              </w:rPr>
              <w:t>CMA计量认证、CNAS认可资质</w:t>
            </w:r>
            <w:r>
              <w:rPr>
                <w:rFonts w:ascii="Arial" w:hAnsi="Arial" w:eastAsia="等线" w:cs="Arial"/>
                <w:sz w:val="22"/>
              </w:rPr>
              <w:t>：</w:t>
            </w:r>
          </w:p>
          <w:p w14:paraId="3043FE5C">
            <w:pPr>
              <w:numPr>
                <w:ilvl w:val="0"/>
                <w:numId w:val="9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资质范围100%覆盖本项目全部招标设备类别（非强检），得10-12分；</w:t>
            </w:r>
          </w:p>
          <w:p w14:paraId="61455CD6">
            <w:pPr>
              <w:numPr>
                <w:ilvl w:val="0"/>
                <w:numId w:val="10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资质覆盖80%以上设备品类，缺少量小众设备，得6-9分；</w:t>
            </w:r>
          </w:p>
          <w:p w14:paraId="45F82A88">
            <w:pPr>
              <w:numPr>
                <w:ilvl w:val="0"/>
                <w:numId w:val="11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资质覆盖60%-80%品类，关键设备资质缺失，得2-5分；</w:t>
            </w:r>
          </w:p>
          <w:p w14:paraId="3D6A4BF9">
            <w:pPr>
              <w:numPr>
                <w:ilvl w:val="0"/>
                <w:numId w:val="12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资质覆盖不足60%或无有效资质，得0分。</w:t>
            </w:r>
          </w:p>
        </w:tc>
      </w:tr>
      <w:tr w14:paraId="4A08282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5E17A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54C87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项目团队专业配置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8517B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8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F575B5">
            <w:pPr>
              <w:numPr>
                <w:ilvl w:val="0"/>
                <w:numId w:val="13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配备持证计量工程师≥3人，含放射设备专项检测人员，人员证件齐全、从业年限3年以上，得7-8分；</w:t>
            </w:r>
          </w:p>
          <w:p w14:paraId="05A281AA">
            <w:pPr>
              <w:numPr>
                <w:ilvl w:val="0"/>
                <w:numId w:val="14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配备持证人员2人，证件齐全，得4-6分；</w:t>
            </w:r>
          </w:p>
          <w:p w14:paraId="17E1D25B">
            <w:pPr>
              <w:numPr>
                <w:ilvl w:val="0"/>
                <w:numId w:val="15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仅1名持证人员，人员配置薄弱，得1-3分；</w:t>
            </w:r>
          </w:p>
          <w:p w14:paraId="3EFE1F52">
            <w:pPr>
              <w:numPr>
                <w:ilvl w:val="0"/>
                <w:numId w:val="16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无专属持证检测人员，得0分。</w:t>
            </w:r>
          </w:p>
        </w:tc>
      </w:tr>
      <w:tr w14:paraId="448EE46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43C81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1350E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服务质量保障与售后响应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E353F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6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FF5A5E">
            <w:pPr>
              <w:numPr>
                <w:ilvl w:val="0"/>
                <w:numId w:val="17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具备完善的检测质控体系、报告审核机制、错检复检兜底方案，24小时响应、3个工作日现场处置，得5-6分；</w:t>
            </w:r>
          </w:p>
          <w:p w14:paraId="5E59A09B">
            <w:pPr>
              <w:numPr>
                <w:ilvl w:val="0"/>
                <w:numId w:val="18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有基础保障措施，响应时效一般，得3-4分；</w:t>
            </w:r>
          </w:p>
          <w:p w14:paraId="13E14190">
            <w:pPr>
              <w:numPr>
                <w:ilvl w:val="0"/>
                <w:numId w:val="19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保障措施简略，无明确响应机制，得1-2分；</w:t>
            </w:r>
          </w:p>
          <w:p w14:paraId="63DD1350">
            <w:pPr>
              <w:numPr>
                <w:ilvl w:val="0"/>
                <w:numId w:val="20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无服务保障方案，得0分。</w:t>
            </w:r>
          </w:p>
        </w:tc>
      </w:tr>
      <w:tr w14:paraId="4B60BEE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6E34D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2B6D8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检测报告交付与合规性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4C99E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80BF39">
            <w:pPr>
              <w:numPr>
                <w:ilvl w:val="0"/>
                <w:numId w:val="21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承诺按期交付正规合规计量证书/报告，可对接卫健、市场监管部门核查，支持台账归档，得4分；</w:t>
            </w:r>
          </w:p>
          <w:p w14:paraId="37AAD765">
            <w:pPr>
              <w:numPr>
                <w:ilvl w:val="0"/>
                <w:numId w:val="22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承诺常规交付，无专项合规保障，得2分；</w:t>
            </w:r>
          </w:p>
          <w:p w14:paraId="5A908672">
            <w:pPr>
              <w:numPr>
                <w:ilvl w:val="0"/>
                <w:numId w:val="23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交付标准模糊、无合规承诺，得0分。</w:t>
            </w:r>
          </w:p>
        </w:tc>
      </w:tr>
    </w:tbl>
    <w:p w14:paraId="10523B75">
      <w:pPr>
        <w:spacing w:before="320" w:after="120" w:line="288" w:lineRule="auto"/>
        <w:ind w:left="0"/>
        <w:jc w:val="left"/>
        <w:outlineLvl w:val="1"/>
      </w:pPr>
      <w:bookmarkStart w:id="2" w:name="heading_2"/>
      <w:r>
        <w:rPr>
          <w:rFonts w:ascii="Arial" w:hAnsi="Arial" w:eastAsia="等线" w:cs="Arial"/>
          <w:b/>
          <w:sz w:val="32"/>
        </w:rPr>
        <w:t>三、商务资信评分（满分25分）</w:t>
      </w:r>
      <w:bookmarkEnd w:id="2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70"/>
        <w:gridCol w:w="2070"/>
        <w:gridCol w:w="2070"/>
        <w:gridCol w:w="2070"/>
      </w:tblGrid>
      <w:tr w14:paraId="1565CCD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9CE76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序号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AC4F3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评审项目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8458C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分值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0B9FA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详细评分细则</w:t>
            </w:r>
          </w:p>
        </w:tc>
      </w:tr>
      <w:tr w14:paraId="2C701DC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C16C6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D8970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企业体系认证资质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7AA44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135BA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具备ISO9001质量管理、ISO14001环境、ISO45001职业健康体系认证，每证1分，最高3分，无证书不得分。</w:t>
            </w:r>
          </w:p>
        </w:tc>
      </w:tr>
      <w:tr w14:paraId="1E5FFA9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47037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D95A2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同类医院服务业绩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73267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10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1D52B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近3年内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呼伦贝尔区域内</w:t>
            </w:r>
            <w:r>
              <w:rPr>
                <w:rFonts w:ascii="Arial" w:hAnsi="Arial" w:eastAsia="等线" w:cs="Arial"/>
                <w:sz w:val="22"/>
              </w:rPr>
              <w:t>公立二甲及以上医院计量检测服务业绩：</w:t>
            </w:r>
          </w:p>
          <w:p w14:paraId="499E06A6">
            <w:pPr>
              <w:numPr>
                <w:ilvl w:val="0"/>
                <w:numId w:val="24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5项及以上完整业绩（含合同、验收证明），得8-10分；</w:t>
            </w:r>
          </w:p>
          <w:p w14:paraId="7045D7E6">
            <w:pPr>
              <w:numPr>
                <w:ilvl w:val="0"/>
                <w:numId w:val="25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3-4项同类业绩，得5-7分；</w:t>
            </w:r>
          </w:p>
          <w:p w14:paraId="016C3571">
            <w:pPr>
              <w:numPr>
                <w:ilvl w:val="0"/>
                <w:numId w:val="26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1-2项同类业绩，得2-4分；</w:t>
            </w:r>
          </w:p>
          <w:p w14:paraId="1D1691C9">
            <w:pPr>
              <w:numPr>
                <w:ilvl w:val="0"/>
                <w:numId w:val="27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无有效公立医疗行业业绩，得0分。</w:t>
            </w:r>
          </w:p>
        </w:tc>
      </w:tr>
      <w:tr w14:paraId="7DBDC8B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1B135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4454A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企业财务资信状况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39AF6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440C61">
            <w:pPr>
              <w:numPr>
                <w:ilvl w:val="0"/>
                <w:numId w:val="28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近1年财务报表完整、营收稳定、无亏损，资信良好，得4分；</w:t>
            </w:r>
          </w:p>
          <w:p w14:paraId="6D9CE5DC">
            <w:pPr>
              <w:numPr>
                <w:ilvl w:val="0"/>
                <w:numId w:val="29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财务资料基本齐全，经营正常，得2分；</w:t>
            </w:r>
          </w:p>
          <w:p w14:paraId="4AC8B953">
            <w:pPr>
              <w:numPr>
                <w:ilvl w:val="0"/>
                <w:numId w:val="30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资料缺失、经营异常，得0分。</w:t>
            </w:r>
          </w:p>
        </w:tc>
      </w:tr>
      <w:tr w14:paraId="1AD76F0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DF9DE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5D690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履约信誉与合规记录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79A4F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77072E">
            <w:pPr>
              <w:numPr>
                <w:ilvl w:val="0"/>
                <w:numId w:val="31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近3年无行政处罚、无招投标失信记录、无检测违规通报，得4分；</w:t>
            </w:r>
          </w:p>
          <w:p w14:paraId="0556A6D2">
            <w:pPr>
              <w:numPr>
                <w:ilvl w:val="0"/>
                <w:numId w:val="32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无重大失信，有轻微合规瑕疵，得2分；</w:t>
            </w:r>
          </w:p>
          <w:p w14:paraId="1D335769">
            <w:pPr>
              <w:numPr>
                <w:ilvl w:val="0"/>
                <w:numId w:val="33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存在严重失信、行政处罚记录，得0分。</w:t>
            </w:r>
          </w:p>
        </w:tc>
      </w:tr>
      <w:tr w14:paraId="20CD73B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CA201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DE868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本地化服务能力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7D9A1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E2910E">
            <w:pPr>
              <w:numPr>
                <w:ilvl w:val="0"/>
                <w:numId w:val="34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项目属地有固定办公场所、设备库房、常驻技术团队，得4分；</w:t>
            </w:r>
          </w:p>
          <w:p w14:paraId="6CA7A9FC">
            <w:pPr>
              <w:numPr>
                <w:ilvl w:val="0"/>
                <w:numId w:val="35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省内有服务网点，可快速到场，得2分；</w:t>
            </w:r>
          </w:p>
          <w:p w14:paraId="3B34B78A">
            <w:pPr>
              <w:numPr>
                <w:ilvl w:val="0"/>
                <w:numId w:val="36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无本地化服务保障，得0分。</w:t>
            </w:r>
          </w:p>
        </w:tc>
      </w:tr>
    </w:tbl>
    <w:p w14:paraId="4A2DFC28">
      <w:pPr>
        <w:spacing w:before="320" w:after="120" w:line="288" w:lineRule="auto"/>
        <w:ind w:left="0"/>
        <w:jc w:val="left"/>
        <w:outlineLvl w:val="1"/>
      </w:pPr>
      <w:bookmarkStart w:id="3" w:name="heading_3"/>
      <w:r>
        <w:rPr>
          <w:rFonts w:ascii="Arial" w:hAnsi="Arial" w:eastAsia="等线" w:cs="Arial"/>
          <w:b/>
          <w:sz w:val="32"/>
        </w:rPr>
        <w:t>四、综合评分规则及特殊说明</w:t>
      </w:r>
      <w:bookmarkEnd w:id="3"/>
    </w:p>
    <w:p w14:paraId="49A52345">
      <w:pPr>
        <w:numPr>
          <w:ilvl w:val="0"/>
          <w:numId w:val="3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总分计算</w:t>
      </w:r>
      <w:r>
        <w:rPr>
          <w:rFonts w:ascii="Arial" w:hAnsi="Arial" w:eastAsia="等线" w:cs="Arial"/>
          <w:sz w:val="22"/>
        </w:rPr>
        <w:t>：总得分=价格得分+技术得分+商务资信得分，得分最高者为第一中标候选人；</w:t>
      </w:r>
    </w:p>
    <w:p w14:paraId="3849E6E9">
      <w:pPr>
        <w:numPr>
          <w:ilvl w:val="0"/>
          <w:numId w:val="3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负偏离扣分</w:t>
      </w:r>
      <w:r>
        <w:rPr>
          <w:rFonts w:ascii="Arial" w:hAnsi="Arial" w:eastAsia="等线" w:cs="Arial"/>
          <w:sz w:val="22"/>
        </w:rPr>
        <w:t>：技术、商务条款每出现一项实质性负偏离，扣2分，扣完对应分项分值为止，重大偏离直接废标；</w:t>
      </w:r>
    </w:p>
    <w:p w14:paraId="7E34E2F0">
      <w:pPr>
        <w:numPr>
          <w:ilvl w:val="0"/>
          <w:numId w:val="3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优先原则</w:t>
      </w:r>
      <w:r>
        <w:rPr>
          <w:rFonts w:ascii="Arial" w:hAnsi="Arial" w:eastAsia="等线" w:cs="Arial"/>
          <w:sz w:val="22"/>
        </w:rPr>
        <w:t>：总分相同时，</w:t>
      </w:r>
      <w:r>
        <w:rPr>
          <w:rFonts w:ascii="Arial" w:hAnsi="Arial" w:eastAsia="等线" w:cs="Arial"/>
          <w:b/>
          <w:sz w:val="22"/>
        </w:rPr>
        <w:t>技术得分高者优先</w:t>
      </w:r>
      <w:r>
        <w:rPr>
          <w:rFonts w:ascii="Arial" w:hAnsi="Arial" w:eastAsia="等线" w:cs="Arial"/>
          <w:sz w:val="22"/>
        </w:rPr>
        <w:t>；技术得分一致的，报价低者优先；</w:t>
      </w:r>
    </w:p>
    <w:p w14:paraId="11178E22">
      <w:pPr>
        <w:numPr>
          <w:ilvl w:val="0"/>
          <w:numId w:val="4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资料要求</w:t>
      </w:r>
      <w:r>
        <w:rPr>
          <w:rFonts w:ascii="Arial" w:hAnsi="Arial" w:eastAsia="等线" w:cs="Arial"/>
          <w:sz w:val="22"/>
        </w:rPr>
        <w:t>：所有资质、业绩、人员证书、体系证书均需提供有效期内扫描件，原件备查，虚假资料直接作废标处理；</w:t>
      </w:r>
    </w:p>
    <w:p w14:paraId="11FE84F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|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C36AC1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AFB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3A4B87"/>
    <w:multiLevelType w:val="singleLevel"/>
    <w:tmpl w:val="813A4B87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">
    <w:nsid w:val="8461FADE"/>
    <w:multiLevelType w:val="singleLevel"/>
    <w:tmpl w:val="8461FADE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2">
    <w:nsid w:val="9239341B"/>
    <w:multiLevelType w:val="singleLevel"/>
    <w:tmpl w:val="9239341B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">
    <w:nsid w:val="9288B902"/>
    <w:multiLevelType w:val="singleLevel"/>
    <w:tmpl w:val="9288B902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4">
    <w:nsid w:val="9C8AC8EF"/>
    <w:multiLevelType w:val="singleLevel"/>
    <w:tmpl w:val="9C8AC8EF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5">
    <w:nsid w:val="B0F1ACD9"/>
    <w:multiLevelType w:val="singleLevel"/>
    <w:tmpl w:val="B0F1ACD9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6">
    <w:nsid w:val="BB64CFA9"/>
    <w:multiLevelType w:val="singleLevel"/>
    <w:tmpl w:val="BB64CFA9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7">
    <w:nsid w:val="BE923771"/>
    <w:multiLevelType w:val="singleLevel"/>
    <w:tmpl w:val="BE923771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8">
    <w:nsid w:val="BF205925"/>
    <w:multiLevelType w:val="singleLevel"/>
    <w:tmpl w:val="BF205925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9">
    <w:nsid w:val="C8879AEF"/>
    <w:multiLevelType w:val="singleLevel"/>
    <w:tmpl w:val="C8879AEF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10">
    <w:nsid w:val="CF092B84"/>
    <w:multiLevelType w:val="singleLevel"/>
    <w:tmpl w:val="CF092B84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1">
    <w:nsid w:val="D7F9FE59"/>
    <w:multiLevelType w:val="singleLevel"/>
    <w:tmpl w:val="D7F9FE59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2">
    <w:nsid w:val="DCBA6B53"/>
    <w:multiLevelType w:val="singleLevel"/>
    <w:tmpl w:val="DCBA6B53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13">
    <w:nsid w:val="E093A4B0"/>
    <w:multiLevelType w:val="singleLevel"/>
    <w:tmpl w:val="E093A4B0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4">
    <w:nsid w:val="F4B5D9F5"/>
    <w:multiLevelType w:val="singleLevel"/>
    <w:tmpl w:val="F4B5D9F5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5">
    <w:nsid w:val="F7735DC9"/>
    <w:multiLevelType w:val="singleLevel"/>
    <w:tmpl w:val="F7735DC9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6">
    <w:nsid w:val="0053208E"/>
    <w:multiLevelType w:val="singleLevel"/>
    <w:tmpl w:val="0053208E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7">
    <w:nsid w:val="0248C179"/>
    <w:multiLevelType w:val="singleLevel"/>
    <w:tmpl w:val="0248C179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18">
    <w:nsid w:val="03D62ECE"/>
    <w:multiLevelType w:val="singleLevel"/>
    <w:tmpl w:val="03D62ECE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9">
    <w:nsid w:val="0E640482"/>
    <w:multiLevelType w:val="singleLevel"/>
    <w:tmpl w:val="0E640482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0">
    <w:nsid w:val="243FCF68"/>
    <w:multiLevelType w:val="singleLevel"/>
    <w:tmpl w:val="243FCF68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1">
    <w:nsid w:val="2470EC97"/>
    <w:multiLevelType w:val="singleLevel"/>
    <w:tmpl w:val="2470EC97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22">
    <w:nsid w:val="25B654F3"/>
    <w:multiLevelType w:val="singleLevel"/>
    <w:tmpl w:val="25B654F3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3">
    <w:nsid w:val="2A8F537B"/>
    <w:multiLevelType w:val="singleLevel"/>
    <w:tmpl w:val="2A8F537B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4">
    <w:nsid w:val="30FC5B15"/>
    <w:multiLevelType w:val="singleLevel"/>
    <w:tmpl w:val="30FC5B15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5">
    <w:nsid w:val="39A0D9AC"/>
    <w:multiLevelType w:val="singleLevel"/>
    <w:tmpl w:val="39A0D9AC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6">
    <w:nsid w:val="46A08BB8"/>
    <w:multiLevelType w:val="singleLevel"/>
    <w:tmpl w:val="46A08BB8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7">
    <w:nsid w:val="4C1BAE26"/>
    <w:multiLevelType w:val="singleLevel"/>
    <w:tmpl w:val="4C1BAE26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28">
    <w:nsid w:val="4D4DC07F"/>
    <w:multiLevelType w:val="singleLevel"/>
    <w:tmpl w:val="4D4DC07F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9">
    <w:nsid w:val="4D94DA66"/>
    <w:multiLevelType w:val="singleLevel"/>
    <w:tmpl w:val="4D94DA66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30">
    <w:nsid w:val="58765686"/>
    <w:multiLevelType w:val="singleLevel"/>
    <w:tmpl w:val="58765686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1">
    <w:nsid w:val="59ADCABA"/>
    <w:multiLevelType w:val="singleLevel"/>
    <w:tmpl w:val="59ADCABA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32">
    <w:nsid w:val="5A241D34"/>
    <w:multiLevelType w:val="singleLevel"/>
    <w:tmpl w:val="5A241D34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33">
    <w:nsid w:val="60382F6E"/>
    <w:multiLevelType w:val="singleLevel"/>
    <w:tmpl w:val="60382F6E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34">
    <w:nsid w:val="629F7852"/>
    <w:multiLevelType w:val="singleLevel"/>
    <w:tmpl w:val="629F7852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35">
    <w:nsid w:val="72183CF9"/>
    <w:multiLevelType w:val="singleLevel"/>
    <w:tmpl w:val="72183CF9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36">
    <w:nsid w:val="77ECEA79"/>
    <w:multiLevelType w:val="singleLevel"/>
    <w:tmpl w:val="77ECEA79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37">
    <w:nsid w:val="79AA4FA4"/>
    <w:multiLevelType w:val="singleLevel"/>
    <w:tmpl w:val="79AA4FA4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38">
    <w:nsid w:val="7C246926"/>
    <w:multiLevelType w:val="singleLevel"/>
    <w:tmpl w:val="7C246926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9">
    <w:nsid w:val="7DEC2089"/>
    <w:multiLevelType w:val="singleLevel"/>
    <w:tmpl w:val="7DEC2089"/>
    <w:lvl w:ilvl="0" w:tentative="0">
      <w:start w:val="2"/>
      <w:numFmt w:val="decimal"/>
      <w:lvlText w:val="%1."/>
      <w:lvlJc w:val="left"/>
      <w:rPr>
        <w:color w:val="3370FF"/>
      </w:rPr>
    </w:lvl>
  </w:abstractNum>
  <w:num w:numId="1">
    <w:abstractNumId w:val="16"/>
  </w:num>
  <w:num w:numId="2">
    <w:abstractNumId w:val="10"/>
  </w:num>
  <w:num w:numId="3">
    <w:abstractNumId w:val="31"/>
  </w:num>
  <w:num w:numId="4">
    <w:abstractNumId w:val="8"/>
  </w:num>
  <w:num w:numId="5">
    <w:abstractNumId w:val="18"/>
  </w:num>
  <w:num w:numId="6">
    <w:abstractNumId w:val="22"/>
  </w:num>
  <w:num w:numId="7">
    <w:abstractNumId w:val="35"/>
  </w:num>
  <w:num w:numId="8">
    <w:abstractNumId w:val="17"/>
  </w:num>
  <w:num w:numId="9">
    <w:abstractNumId w:val="2"/>
  </w:num>
  <w:num w:numId="10">
    <w:abstractNumId w:val="23"/>
  </w:num>
  <w:num w:numId="11">
    <w:abstractNumId w:val="32"/>
  </w:num>
  <w:num w:numId="12">
    <w:abstractNumId w:val="9"/>
  </w:num>
  <w:num w:numId="13">
    <w:abstractNumId w:val="28"/>
  </w:num>
  <w:num w:numId="14">
    <w:abstractNumId w:val="14"/>
  </w:num>
  <w:num w:numId="15">
    <w:abstractNumId w:val="21"/>
  </w:num>
  <w:num w:numId="16">
    <w:abstractNumId w:val="12"/>
  </w:num>
  <w:num w:numId="17">
    <w:abstractNumId w:val="11"/>
  </w:num>
  <w:num w:numId="18">
    <w:abstractNumId w:val="4"/>
  </w:num>
  <w:num w:numId="19">
    <w:abstractNumId w:val="27"/>
  </w:num>
  <w:num w:numId="20">
    <w:abstractNumId w:val="33"/>
  </w:num>
  <w:num w:numId="21">
    <w:abstractNumId w:val="19"/>
  </w:num>
  <w:num w:numId="22">
    <w:abstractNumId w:val="26"/>
  </w:num>
  <w:num w:numId="23">
    <w:abstractNumId w:val="5"/>
  </w:num>
  <w:num w:numId="24">
    <w:abstractNumId w:val="38"/>
  </w:num>
  <w:num w:numId="25">
    <w:abstractNumId w:val="36"/>
  </w:num>
  <w:num w:numId="26">
    <w:abstractNumId w:val="7"/>
  </w:num>
  <w:num w:numId="27">
    <w:abstractNumId w:val="34"/>
  </w:num>
  <w:num w:numId="28">
    <w:abstractNumId w:val="3"/>
  </w:num>
  <w:num w:numId="29">
    <w:abstractNumId w:val="25"/>
  </w:num>
  <w:num w:numId="30">
    <w:abstractNumId w:val="1"/>
  </w:num>
  <w:num w:numId="31">
    <w:abstractNumId w:val="30"/>
  </w:num>
  <w:num w:numId="32">
    <w:abstractNumId w:val="39"/>
  </w:num>
  <w:num w:numId="33">
    <w:abstractNumId w:val="0"/>
  </w:num>
  <w:num w:numId="34">
    <w:abstractNumId w:val="20"/>
  </w:num>
  <w:num w:numId="35">
    <w:abstractNumId w:val="29"/>
  </w:num>
  <w:num w:numId="36">
    <w:abstractNumId w:val="15"/>
  </w:num>
  <w:num w:numId="37">
    <w:abstractNumId w:val="13"/>
  </w:num>
  <w:num w:numId="38">
    <w:abstractNumId w:val="24"/>
  </w:num>
  <w:num w:numId="39">
    <w:abstractNumId w:val="37"/>
  </w:num>
  <w:num w:numId="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D5D4820"/>
    <w:rsid w:val="0DC6287D"/>
    <w:rsid w:val="1BCD0437"/>
    <w:rsid w:val="1C13053F"/>
    <w:rsid w:val="218C7068"/>
    <w:rsid w:val="21A8462C"/>
    <w:rsid w:val="41FA6143"/>
    <w:rsid w:val="4BA757CA"/>
    <w:rsid w:val="65C5081A"/>
    <w:rsid w:val="690D7691"/>
    <w:rsid w:val="7B9A32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1573</Words>
  <Characters>1670</Characters>
  <TotalTime>16</TotalTime>
  <ScaleCrop>false</ScaleCrop>
  <LinksUpToDate>false</LinksUpToDate>
  <CharactersWithSpaces>1672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2026-10-12T07:12:00Z</dcterms:created>
  <dc:creator>Apache POI</dc:creator>
  <cp:lastModifiedBy>期待</cp:lastModifiedBy>
  <dcterms:modified xsi:type="dcterms:W3CDTF">2026-10-12T07:35:32Z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{"Label":"1","ContentProducer":"001191110102MACQD9K64010000","ProduceID":"7695675739552451782","ReservedCode1":"","ContentPropagator":"","PropagateID":"","ReservedCode2":""}</vt:lpwstr>
  </property>
  <property fmtid="{D5CDD505-2E9C-101B-9397-08002B2CF9AE}" pid="3" name="KSOTemplateDocerSaveRecord">
    <vt:lpwstr>eyJoZGlkIjoiMGI0NmViMDc4ZWQwOGRhMTJmZDJmZDE2NGNiNzgyNWYiLCJ1c2VySWQiOiI0MjM5MjI5MDUifQ==</vt:lpwstr>
  </property>
  <property fmtid="{D5CDD505-2E9C-101B-9397-08002B2CF9AE}" pid="4" name="KSOProductBuildVer">
    <vt:lpwstr>2052-12.1.0.28505</vt:lpwstr>
  </property>
  <property fmtid="{D5CDD505-2E9C-101B-9397-08002B2CF9AE}" pid="5" name="ICV">
    <vt:lpwstr>9DC449709AC74B75A5AF3A869535009E_12</vt:lpwstr>
  </property>
</Properties>
</file>