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5DC3E">
      <w:pPr>
        <w:spacing w:line="360" w:lineRule="auto"/>
        <w:jc w:val="center"/>
        <w:rPr>
          <w:rFonts w:ascii="宋体" w:hAnsi="宋体"/>
          <w:sz w:val="24"/>
        </w:rPr>
      </w:pPr>
    </w:p>
    <w:p w14:paraId="781F0199">
      <w:pPr>
        <w:spacing w:line="360" w:lineRule="auto"/>
        <w:jc w:val="center"/>
        <w:rPr>
          <w:rFonts w:ascii="宋体" w:hAnsi="宋体"/>
          <w:sz w:val="24"/>
        </w:rPr>
      </w:pPr>
    </w:p>
    <w:p w14:paraId="588D4AEF">
      <w:pPr>
        <w:spacing w:line="360" w:lineRule="auto"/>
        <w:jc w:val="center"/>
        <w:rPr>
          <w:rFonts w:ascii="宋体" w:hAnsi="宋体"/>
          <w:sz w:val="24"/>
        </w:rPr>
      </w:pPr>
    </w:p>
    <w:p w14:paraId="3F809282">
      <w:pPr>
        <w:spacing w:line="360" w:lineRule="auto"/>
        <w:jc w:val="center"/>
        <w:rPr>
          <w:rFonts w:ascii="宋体" w:hAnsi="宋体"/>
          <w:sz w:val="24"/>
        </w:rPr>
      </w:pPr>
    </w:p>
    <w:p w14:paraId="42815D58">
      <w:pPr>
        <w:spacing w:line="360" w:lineRule="auto"/>
        <w:jc w:val="center"/>
        <w:rPr>
          <w:rFonts w:ascii="宋体" w:hAnsi="宋体"/>
          <w:b/>
          <w:bCs/>
          <w:sz w:val="52"/>
          <w:szCs w:val="52"/>
        </w:rPr>
      </w:pPr>
      <w:r>
        <w:rPr>
          <w:rFonts w:ascii="宋体" w:hAnsi="宋体"/>
          <w:b/>
          <w:bCs/>
          <w:sz w:val="52"/>
          <w:szCs w:val="52"/>
        </w:rPr>
        <w:t>2025</w:t>
      </w:r>
      <w:r>
        <w:rPr>
          <w:rFonts w:hint="eastAsia" w:ascii="宋体" w:hAnsi="宋体"/>
          <w:b/>
          <w:bCs/>
          <w:sz w:val="52"/>
          <w:szCs w:val="52"/>
        </w:rPr>
        <w:t>年度呼伦贝尔市第二人民医院（呼伦贝尔市传染病医院）</w:t>
      </w:r>
    </w:p>
    <w:p w14:paraId="77E6C3D2">
      <w:pPr>
        <w:spacing w:line="360" w:lineRule="auto"/>
        <w:jc w:val="center"/>
        <w:rPr>
          <w:rFonts w:ascii="宋体" w:hAnsi="宋体"/>
          <w:b/>
          <w:bCs/>
          <w:sz w:val="52"/>
          <w:szCs w:val="52"/>
        </w:rPr>
      </w:pPr>
      <w:r>
        <w:rPr>
          <w:rFonts w:hint="eastAsia" w:ascii="宋体" w:hAnsi="宋体"/>
          <w:b/>
          <w:bCs/>
          <w:sz w:val="52"/>
          <w:szCs w:val="52"/>
        </w:rPr>
        <w:t>公开报告</w:t>
      </w:r>
    </w:p>
    <w:p w14:paraId="6AF33ABC">
      <w:pPr>
        <w:spacing w:line="360" w:lineRule="auto"/>
        <w:jc w:val="center"/>
        <w:rPr>
          <w:rFonts w:ascii="宋体" w:hAnsi="宋体"/>
          <w:b/>
          <w:bCs/>
          <w:sz w:val="52"/>
          <w:szCs w:val="52"/>
        </w:rPr>
      </w:pPr>
    </w:p>
    <w:p w14:paraId="10212A6C">
      <w:pPr>
        <w:spacing w:line="360" w:lineRule="auto"/>
        <w:jc w:val="center"/>
        <w:rPr>
          <w:rFonts w:ascii="宋体" w:hAnsi="宋体"/>
          <w:b/>
          <w:bCs/>
          <w:sz w:val="52"/>
          <w:szCs w:val="52"/>
        </w:rPr>
      </w:pPr>
    </w:p>
    <w:p w14:paraId="636528E7">
      <w:pPr>
        <w:spacing w:line="360" w:lineRule="auto"/>
        <w:jc w:val="center"/>
        <w:rPr>
          <w:rFonts w:ascii="宋体" w:hAnsi="宋体"/>
          <w:b/>
          <w:bCs/>
          <w:sz w:val="52"/>
          <w:szCs w:val="52"/>
        </w:rPr>
      </w:pPr>
    </w:p>
    <w:p w14:paraId="3ADF248C">
      <w:pPr>
        <w:spacing w:line="360" w:lineRule="auto"/>
        <w:jc w:val="center"/>
        <w:rPr>
          <w:rFonts w:ascii="宋体" w:hAnsi="宋体"/>
          <w:b/>
          <w:bCs/>
          <w:sz w:val="52"/>
          <w:szCs w:val="52"/>
        </w:rPr>
      </w:pPr>
    </w:p>
    <w:p w14:paraId="1D89E7A7">
      <w:pPr>
        <w:spacing w:line="360" w:lineRule="auto"/>
        <w:jc w:val="center"/>
        <w:rPr>
          <w:rFonts w:ascii="宋体" w:hAnsi="宋体"/>
          <w:b/>
          <w:bCs/>
          <w:sz w:val="52"/>
          <w:szCs w:val="52"/>
        </w:rPr>
      </w:pPr>
    </w:p>
    <w:p w14:paraId="454CAC92">
      <w:pPr>
        <w:ind w:firstLine="2249"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14:paraId="1C9A9517">
      <w:pPr>
        <w:pStyle w:val="28"/>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14:paraId="3480E953">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14:paraId="4A4D2ABE">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单位概况</w:t>
      </w:r>
    </w:p>
    <w:p w14:paraId="1C2CB888">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14:paraId="133D2BA3">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二、单位机构设置及决算单位构成情况</w:t>
      </w:r>
    </w:p>
    <w:p w14:paraId="251E1B6D">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年度单位主要工作完成情况</w:t>
      </w:r>
    </w:p>
    <w:p w14:paraId="4B32AC6E">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单位决算情况说明</w:t>
      </w:r>
    </w:p>
    <w:p w14:paraId="475617B0">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14:paraId="48726566">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14:paraId="16F9F228">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14:paraId="0130022F">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14:paraId="3059657A">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14:paraId="0773F61D">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14:paraId="0756DDF1">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14:paraId="2BDA850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14:paraId="3B1EA916">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14:paraId="32FB97ED">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14:paraId="353B811B">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14:paraId="30540ED0">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14:paraId="4D3664C4">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14:paraId="020AC56A">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14:paraId="697A22BB">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14:paraId="6C2AF075">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14:paraId="1B19DB1F">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单位决算表</w:t>
      </w:r>
    </w:p>
    <w:p w14:paraId="4DD9192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14:paraId="2079C382">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14:paraId="6C41C5F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14:paraId="100B1CFB">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14:paraId="6F5E3DB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14:paraId="6EF40442">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14:paraId="57384873">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14:paraId="49FDDFDA">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14:paraId="1AAE20E4">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14:paraId="6CF797B7">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14:paraId="22E0DFD5">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十一、机关运行经费支出、国有资产占用情况及政府采购支出信息表</w:t>
      </w:r>
    </w:p>
    <w:p w14:paraId="5522CAAC">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C100A36">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3E42C8D3">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5588873E">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5E7E70F">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4D9C5F0">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3E7B8D0A">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2250CE4">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EE2369A">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A84A80A">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3EAACF5">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54AE619E">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C9E9D71">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322DC0D7">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0DD8499F">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8640A3F">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60B1FCF">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0618F1E7">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ascii="方正小标宋简体" w:hAnsi="方正小标宋简体" w:eastAsia="方正小标宋简体" w:cs="方正小标宋简体"/>
          <w:b w:val="0"/>
          <w:bCs w:val="0"/>
          <w:kern w:val="0"/>
          <w:sz w:val="36"/>
          <w:szCs w:val="36"/>
        </w:rPr>
        <w:t>单位概况</w:t>
      </w:r>
    </w:p>
    <w:p w14:paraId="7A0BD75E">
      <w:pPr>
        <w:pStyle w:val="28"/>
        <w:widowControl/>
        <w:spacing w:before="240" w:after="240" w:line="600" w:lineRule="atLeast"/>
        <w:ind w:firstLine="643"/>
        <w:jc w:val="left"/>
        <w:rPr>
          <w:rFonts w:ascii="黑体" w:hAnsi="黑体" w:eastAsia="黑体" w:cs="黑体"/>
          <w:b/>
          <w:bCs/>
          <w:kern w:val="0"/>
          <w:sz w:val="32"/>
          <w:szCs w:val="32"/>
        </w:rPr>
      </w:pPr>
      <w:r>
        <w:rPr>
          <w:rFonts w:ascii="黑体" w:hAnsi="黑体" w:eastAsia="黑体" w:cs="黑体"/>
          <w:b/>
          <w:bCs/>
          <w:kern w:val="0"/>
          <w:sz w:val="32"/>
          <w:szCs w:val="32"/>
        </w:rPr>
        <w:t>一、主要职能、职责</w:t>
      </w:r>
    </w:p>
    <w:p w14:paraId="1284260C">
      <w:pPr>
        <w:keepNext w:val="0"/>
        <w:keepLines w:val="0"/>
        <w:widowControl/>
        <w:suppressLineNumbers w:val="0"/>
        <w:snapToGrid w:val="0"/>
        <w:spacing w:line="360" w:lineRule="auto"/>
        <w:ind w:firstLine="560" w:firstLineChars="200"/>
        <w:rPr>
          <w:rFonts w:ascii="黑体" w:hAnsi="黑体" w:eastAsia="黑体" w:cs="黑体"/>
          <w:b/>
          <w:bCs/>
          <w:kern w:val="0"/>
          <w:sz w:val="30"/>
          <w:szCs w:val="30"/>
        </w:rPr>
      </w:pPr>
      <w:r>
        <w:rPr>
          <w:rFonts w:hint="eastAsia" w:ascii="仿宋" w:hAnsi="仿宋" w:eastAsia="仿宋" w:cs="仿宋"/>
          <w:kern w:val="0"/>
          <w:sz w:val="28"/>
          <w:szCs w:val="28"/>
        </w:rPr>
        <w:t>呼伦贝尔市</w:t>
      </w:r>
      <w:r>
        <w:rPr>
          <w:rFonts w:hint="eastAsia" w:ascii="仿宋" w:hAnsi="仿宋" w:eastAsia="仿宋" w:cs="仿宋"/>
          <w:kern w:val="0"/>
          <w:sz w:val="28"/>
          <w:szCs w:val="28"/>
          <w:lang w:val="en-US" w:eastAsia="zh-CN"/>
        </w:rPr>
        <w:t>第二人民医院（呼伦贝尔市</w:t>
      </w:r>
      <w:r>
        <w:rPr>
          <w:rFonts w:hint="eastAsia" w:ascii="仿宋" w:hAnsi="仿宋" w:eastAsia="仿宋" w:cs="仿宋"/>
          <w:kern w:val="0"/>
          <w:sz w:val="28"/>
          <w:szCs w:val="28"/>
        </w:rPr>
        <w:t>传染病医院</w:t>
      </w:r>
      <w:r>
        <w:rPr>
          <w:rFonts w:hint="eastAsia" w:ascii="仿宋" w:hAnsi="仿宋" w:eastAsia="仿宋" w:cs="仿宋"/>
          <w:kern w:val="0"/>
          <w:sz w:val="28"/>
          <w:szCs w:val="28"/>
          <w:lang w:val="en-US" w:eastAsia="zh-CN"/>
        </w:rPr>
        <w:t>）</w:t>
      </w:r>
      <w:r>
        <w:rPr>
          <w:rFonts w:hint="eastAsia" w:ascii="仿宋" w:hAnsi="仿宋" w:eastAsia="仿宋" w:cs="仿宋"/>
          <w:kern w:val="0"/>
          <w:sz w:val="28"/>
          <w:szCs w:val="28"/>
        </w:rPr>
        <w:t>是一所集医疗、教学、科研、预防保健、康复急救为一体的三级甲等专科医院。</w:t>
      </w:r>
    </w:p>
    <w:p w14:paraId="1BE30FA2">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二、单位机构设置及决算单位构成情况</w:t>
      </w:r>
    </w:p>
    <w:p w14:paraId="2C952F93">
      <w:pPr>
        <w:keepNext w:val="0"/>
        <w:keepLines w:val="0"/>
        <w:widowControl/>
        <w:numPr>
          <w:ilvl w:val="0"/>
          <w:numId w:val="0"/>
        </w:numPr>
        <w:suppressLineNumbers w:val="0"/>
        <w:snapToGrid w:val="0"/>
        <w:spacing w:line="360" w:lineRule="auto"/>
        <w:ind w:firstLine="560" w:firstLineChars="20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eastAsia="en-US"/>
        </w:rPr>
        <w:t>1.</w:t>
      </w:r>
      <w:r>
        <w:rPr>
          <w:rFonts w:hint="eastAsia" w:ascii="仿宋" w:hAnsi="仿宋" w:eastAsia="仿宋" w:cs="仿宋"/>
          <w:kern w:val="0"/>
          <w:sz w:val="28"/>
          <w:szCs w:val="28"/>
        </w:rPr>
        <w:t>根据单位职责分工，本单位内设机构</w:t>
      </w:r>
      <w:r>
        <w:rPr>
          <w:rFonts w:hint="eastAsia" w:ascii="仿宋" w:hAnsi="仿宋" w:eastAsia="仿宋" w:cs="仿宋"/>
          <w:kern w:val="0"/>
          <w:sz w:val="28"/>
          <w:szCs w:val="28"/>
          <w:lang w:val="en-US" w:eastAsia="zh-CN"/>
        </w:rPr>
        <w:t>52个。分别为：党委办公室、医院办公室、宣传科、纪委办公室、人事科、财务计划科、医务科、护理部、质量管理科、运营管理科、感染管理科、疾病预防控制科、医保科、医学工程科、信息工程科、耐药结核科、重症结核科、合并症结核科、感染性疾病科、心血管内科、呼吸与危重症疾病科、神经内科、肾内科、肿瘤内科、急诊医学科、门诊办公室、内分泌科、儿科、中西医结合科、健康体检科、普外科、泌尿外科、胸外科、骨创伤科、脊柱骨关节外科、妇科、产科、麻醉科、眼科、口腔科、康复医学科、药学部、检验科、病理科、超声医学科、腔镜室、放射科、CT室、核磁共振室、消毒供应科、后勤保障科、保卫科。本单位无下属单位。</w:t>
      </w:r>
      <w:bookmarkStart w:id="1" w:name="_GoBack"/>
      <w:bookmarkEnd w:id="1"/>
    </w:p>
    <w:p w14:paraId="7D4020C1">
      <w:pPr>
        <w:pStyle w:val="28"/>
        <w:widowControl/>
        <w:spacing w:before="240" w:after="240" w:line="60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lang w:eastAsia="en-US"/>
        </w:rPr>
        <w:t>2.</w:t>
      </w:r>
      <w:r>
        <w:rPr>
          <w:rFonts w:hint="eastAsia" w:ascii="仿宋" w:hAnsi="仿宋" w:eastAsia="仿宋" w:cs="仿宋"/>
          <w:kern w:val="0"/>
          <w:sz w:val="28"/>
          <w:szCs w:val="28"/>
        </w:rPr>
        <w:t>从决算单位构成看，纳入本单位决算编制范围的预算单位共计</w:t>
      </w:r>
      <w:r>
        <w:rPr>
          <w:rFonts w:hint="eastAsia" w:ascii="仿宋" w:hAnsi="仿宋" w:eastAsia="仿宋" w:cs="仿宋"/>
          <w:kern w:val="0"/>
          <w:sz w:val="28"/>
          <w:szCs w:val="28"/>
          <w:lang w:val="en-US" w:eastAsia="zh-CN"/>
        </w:rPr>
        <w:t>1</w:t>
      </w:r>
      <w:r>
        <w:rPr>
          <w:rFonts w:hint="eastAsia" w:ascii="仿宋" w:hAnsi="仿宋" w:eastAsia="仿宋" w:cs="仿宋"/>
          <w:kern w:val="0"/>
          <w:sz w:val="28"/>
          <w:szCs w:val="28"/>
        </w:rPr>
        <w:t>家，详细情况见表：</w:t>
      </w:r>
    </w:p>
    <w:tbl>
      <w:tblPr>
        <w:tblStyle w:val="18"/>
        <w:tblW w:w="7080" w:type="dxa"/>
        <w:jc w:val="center"/>
        <w:tblLayout w:type="fixed"/>
        <w:tblCellMar>
          <w:top w:w="15" w:type="dxa"/>
          <w:left w:w="15" w:type="dxa"/>
          <w:bottom w:w="15" w:type="dxa"/>
          <w:right w:w="15" w:type="dxa"/>
        </w:tblCellMar>
      </w:tblPr>
      <w:tblGrid>
        <w:gridCol w:w="583"/>
        <w:gridCol w:w="4255"/>
        <w:gridCol w:w="2242"/>
      </w:tblGrid>
      <w:tr w14:paraId="3599F85A">
        <w:tblPrEx>
          <w:tblCellMar>
            <w:top w:w="15" w:type="dxa"/>
            <w:left w:w="15" w:type="dxa"/>
            <w:bottom w:w="15" w:type="dxa"/>
            <w:right w:w="15" w:type="dxa"/>
          </w:tblCellMar>
        </w:tblPrEx>
        <w:trPr>
          <w:trHeight w:val="459" w:hRule="atLeast"/>
          <w:tblHeader/>
          <w:jc w:val="center"/>
        </w:trPr>
        <w:tc>
          <w:tcPr>
            <w:tcW w:w="58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079A5919">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序号</w:t>
            </w:r>
          </w:p>
        </w:tc>
        <w:tc>
          <w:tcPr>
            <w:tcW w:w="425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4ADF523F">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单位名称</w:t>
            </w:r>
          </w:p>
        </w:tc>
        <w:tc>
          <w:tcPr>
            <w:tcW w:w="2242"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1312B550">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单位性质</w:t>
            </w:r>
          </w:p>
        </w:tc>
      </w:tr>
      <w:tr w14:paraId="23567E08">
        <w:tblPrEx>
          <w:tblCellMar>
            <w:top w:w="15" w:type="dxa"/>
            <w:left w:w="15" w:type="dxa"/>
            <w:bottom w:w="15" w:type="dxa"/>
            <w:right w:w="15" w:type="dxa"/>
          </w:tblCellMar>
        </w:tblPrEx>
        <w:trPr>
          <w:trHeight w:val="369" w:hRule="atLeast"/>
          <w:jc w:val="center"/>
        </w:trPr>
        <w:tc>
          <w:tcPr>
            <w:tcW w:w="58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03E795CA">
            <w:pPr>
              <w:widowControl/>
              <w:jc w:val="center"/>
              <w:rPr>
                <w:rFonts w:hint="eastAsia" w:ascii="Times New Roman" w:hAnsi="Times New Roman" w:eastAsia="宋体" w:cs="Times New Roman"/>
                <w:b w:val="0"/>
                <w:bCs w:val="0"/>
                <w:i w:val="0"/>
                <w:iCs w:val="0"/>
                <w:smallCaps w:val="0"/>
                <w:color w:val="000000"/>
                <w:kern w:val="0"/>
                <w:sz w:val="24"/>
                <w:lang w:eastAsia="zh-CN"/>
              </w:rPr>
            </w:pPr>
            <w:r>
              <w:rPr>
                <w:rFonts w:hint="eastAsia"/>
                <w:b w:val="0"/>
                <w:bCs w:val="0"/>
                <w:i w:val="0"/>
                <w:iCs w:val="0"/>
                <w:smallCaps w:val="0"/>
                <w:color w:val="000000"/>
                <w:kern w:val="0"/>
                <w:sz w:val="24"/>
                <w:lang w:val="en-US" w:eastAsia="zh-CN"/>
              </w:rPr>
              <w:t>1</w:t>
            </w:r>
          </w:p>
        </w:tc>
        <w:tc>
          <w:tcPr>
            <w:tcW w:w="425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0528F4ED">
            <w:pPr>
              <w:widowControl/>
              <w:jc w:val="center"/>
              <w:rPr>
                <w:rFonts w:hint="default" w:ascii="Times New Roman" w:hAnsi="Times New Roman" w:eastAsia="宋体" w:cs="Times New Roman"/>
                <w:b w:val="0"/>
                <w:bCs w:val="0"/>
                <w:i w:val="0"/>
                <w:iCs w:val="0"/>
                <w:smallCaps w:val="0"/>
                <w:color w:val="000000"/>
                <w:kern w:val="0"/>
                <w:sz w:val="24"/>
                <w:lang w:val="en-US" w:eastAsia="zh-CN"/>
              </w:rPr>
            </w:pPr>
            <w:r>
              <w:rPr>
                <w:rFonts w:hint="eastAsia" w:ascii="FangSong_GB2312" w:hAnsi="FangSong_GB2312" w:eastAsia="FangSong_GB2312" w:cs="FangSong_GB2312"/>
                <w:b w:val="0"/>
                <w:bCs w:val="0"/>
                <w:i w:val="0"/>
                <w:iCs w:val="0"/>
                <w:smallCaps w:val="0"/>
                <w:color w:val="000000"/>
                <w:kern w:val="0"/>
                <w:sz w:val="24"/>
                <w:lang w:val="en-US" w:eastAsia="zh-CN"/>
              </w:rPr>
              <w:t>呼伦贝尔市第二人民医院           （呼伦贝尔市传染病医院）</w:t>
            </w:r>
          </w:p>
        </w:tc>
        <w:tc>
          <w:tcPr>
            <w:tcW w:w="2242"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63ADFAB1">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公益二类事业单位</w:t>
            </w:r>
          </w:p>
        </w:tc>
      </w:tr>
    </w:tbl>
    <w:p w14:paraId="5DA9BC7E">
      <w:pPr>
        <w:pStyle w:val="28"/>
        <w:widowControl/>
        <w:spacing w:before="240" w:after="240" w:line="600" w:lineRule="atLeast"/>
        <w:ind w:firstLine="643"/>
        <w:jc w:val="left"/>
        <w:rPr>
          <w:rFonts w:ascii="黑体" w:hAnsi="黑体" w:eastAsia="黑体" w:cs="黑体"/>
          <w:b/>
          <w:bCs/>
          <w:kern w:val="0"/>
          <w:sz w:val="32"/>
          <w:szCs w:val="32"/>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年度单位主要工作完成情况</w:t>
      </w:r>
    </w:p>
    <w:p w14:paraId="27559533">
      <w:pPr>
        <w:widowControl/>
        <w:spacing w:before="240" w:after="240"/>
        <w:ind w:firstLine="560" w:firstLineChars="200"/>
        <w:jc w:val="left"/>
        <w:rPr>
          <w:rFonts w:hint="eastAsia" w:ascii="仿宋" w:hAnsi="仿宋" w:eastAsia="仿宋" w:cs="仿宋"/>
          <w:b w:val="0"/>
          <w:bCs w:val="0"/>
          <w:kern w:val="0"/>
          <w:sz w:val="28"/>
          <w:szCs w:val="28"/>
          <w:lang w:val="en-US" w:eastAsia="zh-CN"/>
        </w:rPr>
      </w:pPr>
      <w:r>
        <w:rPr>
          <w:rFonts w:hint="eastAsia" w:ascii="仿宋" w:hAnsi="仿宋" w:eastAsia="仿宋" w:cs="仿宋"/>
          <w:b w:val="0"/>
          <w:bCs w:val="0"/>
          <w:kern w:val="0"/>
          <w:sz w:val="28"/>
          <w:szCs w:val="28"/>
          <w:lang w:val="en-US" w:eastAsia="zh-CN"/>
        </w:rPr>
        <w:t>1.发挥党建引领核心作用，筑牢事业发展根本保障</w:t>
      </w:r>
    </w:p>
    <w:p w14:paraId="6DE09404">
      <w:pPr>
        <w:widowControl/>
        <w:spacing w:before="240" w:after="240"/>
        <w:ind w:firstLine="560" w:firstLineChars="200"/>
        <w:jc w:val="left"/>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1）强化党务工作能力，持续提升党务工作水平。一是夯实党建“三基”工作。制定《基层党建工作提醒制度》等3项制度，定期开展提醒、培训、督导、调研、反馈，二是制定《党群科室能力提升工作方案》塑造专业化的党群团队，实现成员理论水平和专业能力的精准契合，政治素养与科室业务的有效补充，自身能力与服务意识的全面提升。三是针对调研的跨部门问题，建立行政科室动态多学科协作（MDT）团队。四是制定组织生活情况统计台账，加强对基层党支部组织生活标准化建设指导，加强基层党支部标准化建设。</w:t>
      </w:r>
    </w:p>
    <w:p w14:paraId="7C1F2DD2">
      <w:pPr>
        <w:widowControl/>
        <w:spacing w:before="240" w:after="240"/>
        <w:ind w:firstLine="560" w:firstLineChars="200"/>
        <w:jc w:val="left"/>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2）建立健全“监督+服务”闭环管理机制。一是纪委办公室聚焦医院重点领域和关键环节，针对三公事项、信息发布“三审三校”、账实相符、高值耗材等重点领域开展监督检查19次，通过闭环管理压实责任，筑牢安全防线。发送正风肃纪工作提醒10次、廉洁自律函件22份，召开党风廉政工作会议6次，组织警示教育5次，全面筑牢医院廉政防线。二是 牢固树立“过紧日子”思想，精细化管理助力提质增效。</w:t>
      </w:r>
    </w:p>
    <w:p w14:paraId="5CB2E2C5">
      <w:pPr>
        <w:widowControl/>
        <w:spacing w:before="240" w:after="240"/>
        <w:ind w:firstLine="560" w:firstLineChars="200"/>
        <w:jc w:val="left"/>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3）党建引领学科建设，彰显实践发展成效。一是党建引领学科建设发展“硬实力”。谋划医院学科建设长远布局，以党建为纽带，充分利用与北京医疗合作，深耕传染病专科领域。开展“一扫双筛”肺癌、肺结核早筛早诊早治公益活动，荣获“一扫双筛”项目“优秀组织奖”。二是党建引领绩效考核提档升级。充分发挥党建引领作用，以党建项目促医院医疗服务治理与管理水平再上新台阶。</w:t>
      </w:r>
    </w:p>
    <w:p w14:paraId="6A068141">
      <w:pPr>
        <w:widowControl/>
        <w:spacing w:before="240" w:after="240"/>
        <w:ind w:firstLine="560" w:firstLineChars="200"/>
        <w:jc w:val="left"/>
        <w:rPr>
          <w:rFonts w:hint="eastAsia" w:ascii="仿宋" w:hAnsi="仿宋" w:eastAsia="仿宋" w:cs="仿宋"/>
          <w:b w:val="0"/>
          <w:bCs w:val="0"/>
          <w:kern w:val="0"/>
          <w:sz w:val="28"/>
          <w:szCs w:val="28"/>
          <w:lang w:val="zh-CN" w:eastAsia="zh-CN"/>
        </w:rPr>
      </w:pPr>
      <w:r>
        <w:rPr>
          <w:rFonts w:hint="eastAsia" w:ascii="仿宋" w:hAnsi="仿宋" w:eastAsia="仿宋" w:cs="仿宋"/>
          <w:b w:val="0"/>
          <w:bCs w:val="0"/>
          <w:kern w:val="0"/>
          <w:sz w:val="28"/>
          <w:szCs w:val="28"/>
          <w:lang w:val="en-US" w:eastAsia="zh-CN"/>
        </w:rPr>
        <w:t>2、</w:t>
      </w:r>
      <w:r>
        <w:rPr>
          <w:rFonts w:hint="eastAsia" w:ascii="仿宋" w:hAnsi="仿宋" w:eastAsia="仿宋" w:cs="仿宋"/>
          <w:b w:val="0"/>
          <w:bCs w:val="0"/>
          <w:kern w:val="0"/>
          <w:sz w:val="28"/>
          <w:szCs w:val="28"/>
          <w:lang w:val="zh-CN" w:eastAsia="zh-CN"/>
        </w:rPr>
        <w:t>重点工作完成情况</w:t>
      </w:r>
    </w:p>
    <w:p w14:paraId="78D2BD7E">
      <w:pPr>
        <w:widowControl/>
        <w:spacing w:before="240" w:after="240"/>
        <w:ind w:firstLine="560" w:firstLineChars="200"/>
        <w:jc w:val="left"/>
        <w:rPr>
          <w:rFonts w:hint="eastAsia" w:ascii="仿宋" w:hAnsi="仿宋" w:eastAsia="仿宋" w:cs="仿宋"/>
          <w:kern w:val="0"/>
          <w:sz w:val="28"/>
          <w:szCs w:val="28"/>
          <w:lang w:val="zh-CN" w:eastAsia="zh-CN"/>
        </w:rPr>
      </w:pPr>
      <w:r>
        <w:rPr>
          <w:rFonts w:hint="eastAsia" w:ascii="仿宋" w:hAnsi="仿宋" w:eastAsia="仿宋" w:cs="仿宋"/>
          <w:kern w:val="0"/>
          <w:sz w:val="28"/>
          <w:szCs w:val="28"/>
          <w:lang w:val="en-US" w:eastAsia="zh-CN"/>
        </w:rPr>
        <w:t>（1）</w:t>
      </w:r>
      <w:r>
        <w:rPr>
          <w:rFonts w:hint="eastAsia" w:ascii="仿宋" w:hAnsi="仿宋" w:eastAsia="仿宋" w:cs="仿宋"/>
          <w:kern w:val="0"/>
          <w:sz w:val="28"/>
          <w:szCs w:val="28"/>
          <w:lang w:val="zh-CN" w:eastAsia="zh-CN"/>
        </w:rPr>
        <w:t>医疗质量与安全防线持续加固。一是执行核心制度。二是严格院感防控。三是</w:t>
      </w:r>
      <w:r>
        <w:rPr>
          <w:rFonts w:hint="eastAsia" w:ascii="仿宋" w:hAnsi="仿宋" w:eastAsia="仿宋" w:cs="仿宋"/>
          <w:kern w:val="0"/>
          <w:sz w:val="28"/>
          <w:szCs w:val="28"/>
          <w:lang w:val="en-US" w:eastAsia="zh-CN"/>
        </w:rPr>
        <w:t>加强</w:t>
      </w:r>
      <w:r>
        <w:rPr>
          <w:rFonts w:hint="eastAsia" w:ascii="仿宋" w:hAnsi="仿宋" w:eastAsia="仿宋" w:cs="仿宋"/>
          <w:kern w:val="0"/>
          <w:sz w:val="28"/>
          <w:szCs w:val="28"/>
          <w:lang w:val="zh-CN" w:eastAsia="zh-CN"/>
        </w:rPr>
        <w:t>运营管理。</w:t>
      </w:r>
    </w:p>
    <w:p w14:paraId="7B5B5BDB">
      <w:pPr>
        <w:widowControl/>
        <w:spacing w:before="240" w:after="240"/>
        <w:ind w:firstLine="560" w:firstLineChars="200"/>
        <w:jc w:val="left"/>
        <w:rPr>
          <w:rFonts w:hint="eastAsia" w:ascii="仿宋" w:hAnsi="仿宋" w:eastAsia="仿宋" w:cs="仿宋"/>
          <w:kern w:val="0"/>
          <w:sz w:val="28"/>
          <w:szCs w:val="28"/>
          <w:lang w:val="zh-CN" w:eastAsia="zh-CN"/>
        </w:rPr>
      </w:pPr>
      <w:r>
        <w:rPr>
          <w:rFonts w:hint="eastAsia" w:ascii="仿宋" w:hAnsi="仿宋" w:eastAsia="仿宋" w:cs="仿宋"/>
          <w:kern w:val="0"/>
          <w:sz w:val="28"/>
          <w:szCs w:val="28"/>
          <w:lang w:val="zh-CN" w:eastAsia="zh-CN"/>
        </w:rPr>
        <w:t>（</w:t>
      </w:r>
      <w:r>
        <w:rPr>
          <w:rFonts w:hint="eastAsia" w:ascii="仿宋" w:hAnsi="仿宋" w:eastAsia="仿宋" w:cs="仿宋"/>
          <w:kern w:val="0"/>
          <w:sz w:val="28"/>
          <w:szCs w:val="28"/>
          <w:lang w:val="en-US" w:eastAsia="zh-CN"/>
        </w:rPr>
        <w:t>2</w:t>
      </w:r>
      <w:r>
        <w:rPr>
          <w:rFonts w:hint="eastAsia" w:ascii="仿宋" w:hAnsi="仿宋" w:eastAsia="仿宋" w:cs="仿宋"/>
          <w:kern w:val="0"/>
          <w:sz w:val="28"/>
          <w:szCs w:val="28"/>
          <w:lang w:val="zh-CN" w:eastAsia="zh-CN"/>
        </w:rPr>
        <w:t>）学科建设与人才梯队同步升级。一是深化“科研强院”理念。积极推动学科建设工作，鼓励科室开展新技术、新项目，加强学术交流与合作。二是推动“人才兴院”战略。聘请中国医科大学免疫学国家二级教授，博士生导师，享受国务院政府特殊津贴，中国医科大学免疫研究所所长担任我院名誉专家。</w:t>
      </w:r>
    </w:p>
    <w:p w14:paraId="5F9BD942">
      <w:pPr>
        <w:widowControl/>
        <w:spacing w:before="240" w:after="240"/>
        <w:ind w:firstLine="560" w:firstLineChars="200"/>
        <w:jc w:val="left"/>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zh-CN" w:eastAsia="zh-CN"/>
        </w:rPr>
        <w:t>（</w:t>
      </w:r>
      <w:r>
        <w:rPr>
          <w:rFonts w:hint="eastAsia" w:ascii="仿宋" w:hAnsi="仿宋" w:eastAsia="仿宋" w:cs="仿宋"/>
          <w:kern w:val="0"/>
          <w:sz w:val="28"/>
          <w:szCs w:val="28"/>
          <w:lang w:val="en-US" w:eastAsia="zh-CN"/>
        </w:rPr>
        <w:t>3</w:t>
      </w:r>
      <w:r>
        <w:rPr>
          <w:rFonts w:hint="eastAsia" w:ascii="仿宋" w:hAnsi="仿宋" w:eastAsia="仿宋" w:cs="仿宋"/>
          <w:kern w:val="0"/>
          <w:sz w:val="28"/>
          <w:szCs w:val="28"/>
          <w:lang w:val="zh-CN" w:eastAsia="zh-CN"/>
        </w:rPr>
        <w:t>）</w:t>
      </w:r>
      <w:r>
        <w:rPr>
          <w:rFonts w:hint="eastAsia" w:ascii="仿宋" w:hAnsi="仿宋" w:eastAsia="仿宋" w:cs="仿宋"/>
          <w:kern w:val="0"/>
          <w:sz w:val="28"/>
          <w:szCs w:val="28"/>
          <w:lang w:val="en-US" w:eastAsia="zh-CN"/>
        </w:rPr>
        <w:t>信息化建设与诊疗效率巩固提升。一是完成电子病历及信息化接口改造调试，医保自控系统上线，为我院的医疗服务和医保支付带来更高的便利性和安全性。二是完成传染病监测预警从“主动报告”向“自动抓取”的数字化、智能化转型。三是上线病案质控系统，改变病案首页终末端质控的模式，实现了对首页数据生成环节的质控。</w:t>
      </w:r>
    </w:p>
    <w:p w14:paraId="1B028181">
      <w:pPr>
        <w:widowControl/>
        <w:spacing w:before="240" w:after="240"/>
        <w:ind w:firstLine="560" w:firstLineChars="200"/>
        <w:jc w:val="left"/>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（4）疾病预防控制能力全面提质升级。建立“医防融合”工作机制，每月对重点传染病开展风险提示，使首诊医生能及时发现并上报疫情信息。加强对死亡病例报告的监测工作，定期进行自查、培训及总结。</w:t>
      </w:r>
    </w:p>
    <w:p w14:paraId="69DED71D">
      <w:pPr>
        <w:widowControl/>
        <w:spacing w:before="240" w:after="240"/>
        <w:ind w:firstLine="560" w:firstLineChars="200"/>
        <w:jc w:val="left"/>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5）药事精管提升用药安全与服务效能。深入推进临床药学服务，临床药师参与查房、会诊与疑难病例讨论，开展药学监护和用药教育，加强药品的质量监管，确保药品质量安全；加强处方审核，完善药品信息化追溯体系，促进临床合理规范用药。</w:t>
      </w:r>
    </w:p>
    <w:p w14:paraId="66170F5E">
      <w:pPr>
        <w:widowControl/>
        <w:spacing w:before="240" w:after="240"/>
        <w:ind w:firstLine="560" w:firstLineChars="200"/>
        <w:jc w:val="left"/>
        <w:rPr>
          <w:rFonts w:hint="eastAsia" w:ascii="仿宋" w:hAnsi="仿宋" w:eastAsia="仿宋" w:cs="仿宋"/>
          <w:b w:val="0"/>
          <w:bCs w:val="0"/>
          <w:kern w:val="2"/>
          <w:sz w:val="28"/>
          <w:szCs w:val="28"/>
          <w:highlight w:val="none"/>
          <w:lang w:val="en-US" w:eastAsia="zh-CN"/>
        </w:rPr>
      </w:pPr>
      <w:r>
        <w:rPr>
          <w:rFonts w:hint="eastAsia" w:ascii="仿宋" w:hAnsi="仿宋" w:eastAsia="仿宋" w:cs="仿宋"/>
          <w:kern w:val="0"/>
          <w:sz w:val="28"/>
          <w:szCs w:val="28"/>
          <w:lang w:val="en-US" w:eastAsia="zh-CN"/>
        </w:rPr>
        <w:t>（6）全领域安全生产防线筑牢巩固。巩固安全生产、平安医院建设。开展“安全生产月”活动，把“安全生产月”活动作为“安全生产三年整治”重要内容，纳入安全生产工作考核范围，开展丰富多彩的宣传教育活动。提高全体员工应对突发事件的能力全面提升医院安全管理水平，为医院的稳定运行和患者的生命安全提供坚实保障</w:t>
      </w:r>
      <w:r>
        <w:rPr>
          <w:rFonts w:hint="eastAsia" w:ascii="仿宋" w:hAnsi="仿宋" w:eastAsia="仿宋" w:cs="仿宋"/>
          <w:b w:val="0"/>
          <w:bCs w:val="0"/>
          <w:kern w:val="2"/>
          <w:sz w:val="28"/>
          <w:szCs w:val="28"/>
          <w:highlight w:val="none"/>
          <w:lang w:val="en-US" w:eastAsia="zh-CN"/>
        </w:rPr>
        <w:t>。</w:t>
      </w:r>
    </w:p>
    <w:p w14:paraId="5CCC7BCB">
      <w:pPr>
        <w:pStyle w:val="28"/>
        <w:widowControl/>
        <w:spacing w:before="240" w:after="240" w:line="600" w:lineRule="atLeast"/>
        <w:ind w:firstLine="643"/>
        <w:jc w:val="left"/>
        <w:rPr>
          <w:rFonts w:ascii="黑体" w:hAnsi="黑体" w:eastAsia="黑体" w:cs="黑体"/>
          <w:b/>
          <w:bCs/>
          <w:kern w:val="0"/>
          <w:sz w:val="28"/>
          <w:szCs w:val="28"/>
        </w:rPr>
      </w:pPr>
    </w:p>
    <w:p w14:paraId="53B2C58F">
      <w:pPr>
        <w:pStyle w:val="28"/>
        <w:widowControl/>
        <w:spacing w:before="240" w:after="240" w:line="600" w:lineRule="atLeast"/>
        <w:ind w:firstLine="643"/>
        <w:jc w:val="left"/>
        <w:rPr>
          <w:rFonts w:ascii="黑体" w:hAnsi="黑体" w:eastAsia="黑体" w:cs="黑体"/>
          <w:b/>
          <w:bCs/>
          <w:kern w:val="0"/>
          <w:sz w:val="28"/>
          <w:szCs w:val="28"/>
        </w:rPr>
      </w:pPr>
    </w:p>
    <w:p w14:paraId="6E1C9584">
      <w:pPr>
        <w:pStyle w:val="28"/>
        <w:widowControl/>
        <w:spacing w:before="240" w:after="240" w:line="600" w:lineRule="atLeast"/>
        <w:ind w:firstLine="643"/>
        <w:jc w:val="left"/>
        <w:rPr>
          <w:rFonts w:ascii="黑体" w:hAnsi="黑体" w:eastAsia="黑体" w:cs="黑体"/>
          <w:b/>
          <w:bCs/>
          <w:kern w:val="0"/>
          <w:sz w:val="28"/>
          <w:szCs w:val="28"/>
        </w:rPr>
      </w:pPr>
    </w:p>
    <w:p w14:paraId="167FA057">
      <w:pPr>
        <w:pStyle w:val="28"/>
        <w:widowControl/>
        <w:spacing w:before="240" w:after="240" w:line="600" w:lineRule="atLeast"/>
        <w:ind w:firstLine="643"/>
        <w:jc w:val="left"/>
        <w:rPr>
          <w:rFonts w:ascii="黑体" w:hAnsi="黑体" w:eastAsia="黑体" w:cs="黑体"/>
          <w:b/>
          <w:bCs/>
          <w:kern w:val="0"/>
          <w:sz w:val="28"/>
          <w:szCs w:val="28"/>
        </w:rPr>
      </w:pPr>
    </w:p>
    <w:p w14:paraId="21E2377B">
      <w:pPr>
        <w:widowControl/>
        <w:spacing w:before="240" w:after="240"/>
        <w:jc w:val="left"/>
        <w:rPr>
          <w:rFonts w:ascii="Times New Roman" w:hAnsi="Times New Roman" w:eastAsia="Times New Roman" w:cs="Times New Roman"/>
          <w:kern w:val="0"/>
          <w:sz w:val="24"/>
        </w:rPr>
      </w:pPr>
    </w:p>
    <w:p w14:paraId="613EEE83">
      <w:pPr>
        <w:widowControl/>
        <w:spacing w:before="240" w:after="240"/>
        <w:jc w:val="left"/>
        <w:rPr>
          <w:rFonts w:ascii="Times New Roman" w:hAnsi="Times New Roman" w:eastAsia="Times New Roman" w:cs="Times New Roman"/>
          <w:kern w:val="0"/>
          <w:sz w:val="24"/>
        </w:rPr>
      </w:pPr>
    </w:p>
    <w:p w14:paraId="2FAAA5C5">
      <w:pPr>
        <w:widowControl/>
        <w:spacing w:before="240" w:after="240"/>
        <w:jc w:val="left"/>
        <w:rPr>
          <w:rFonts w:ascii="Times New Roman" w:hAnsi="Times New Roman" w:eastAsia="Times New Roman" w:cs="Times New Roman"/>
          <w:kern w:val="0"/>
          <w:sz w:val="24"/>
        </w:rPr>
      </w:pPr>
    </w:p>
    <w:p w14:paraId="7B0A27A0">
      <w:pPr>
        <w:widowControl/>
        <w:spacing w:before="240" w:after="240"/>
        <w:jc w:val="left"/>
        <w:rPr>
          <w:rFonts w:ascii="Times New Roman" w:hAnsi="Times New Roman" w:eastAsia="Times New Roman" w:cs="Times New Roman"/>
          <w:kern w:val="0"/>
          <w:sz w:val="24"/>
        </w:rPr>
      </w:pPr>
    </w:p>
    <w:p w14:paraId="0703F8B1">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单位决算情况说明</w:t>
      </w:r>
    </w:p>
    <w:p w14:paraId="6A0144FB">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14:paraId="6A55A3A0">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rPr>
        <w:t>呼伦贝尔市第二人民医院（呼伦贝尔市传染病医院）</w:t>
      </w:r>
      <w:r>
        <w:rPr>
          <w:rFonts w:hint="eastAsia" w:ascii="仿宋" w:hAnsi="仿宋" w:eastAsia="仿宋" w:cs="仿宋"/>
          <w:kern w:val="0"/>
          <w:sz w:val="28"/>
          <w:szCs w:val="28"/>
          <w:lang w:eastAsia="en-US"/>
        </w:rPr>
        <w:t>2025</w:t>
      </w:r>
      <w:r>
        <w:rPr>
          <w:rFonts w:hint="eastAsia" w:ascii="仿宋" w:hAnsi="仿宋" w:eastAsia="仿宋" w:cs="仿宋"/>
          <w:kern w:val="0"/>
          <w:sz w:val="28"/>
          <w:szCs w:val="28"/>
        </w:rPr>
        <w:t>年度收入、支出决算总计均为</w:t>
      </w:r>
      <w:r>
        <w:rPr>
          <w:rFonts w:hint="eastAsia" w:ascii="仿宋" w:hAnsi="仿宋" w:eastAsia="仿宋" w:cs="仿宋"/>
          <w:kern w:val="0"/>
          <w:sz w:val="28"/>
          <w:szCs w:val="28"/>
          <w:u w:val="none"/>
          <w:lang w:eastAsia="en-US"/>
        </w:rPr>
        <w:t>18907.76</w:t>
      </w:r>
      <w:r>
        <w:rPr>
          <w:rFonts w:hint="eastAsia" w:ascii="仿宋" w:hAnsi="仿宋" w:eastAsia="仿宋" w:cs="仿宋"/>
          <w:kern w:val="0"/>
          <w:sz w:val="28"/>
          <w:szCs w:val="28"/>
        </w:rPr>
        <w:t>万元。与年初预算相比，收、支总计各减少</w:t>
      </w:r>
      <w:r>
        <w:rPr>
          <w:rFonts w:hint="eastAsia" w:ascii="仿宋" w:hAnsi="仿宋" w:eastAsia="仿宋" w:cs="仿宋"/>
          <w:kern w:val="0"/>
          <w:sz w:val="28"/>
          <w:szCs w:val="28"/>
          <w:u w:val="none"/>
          <w:lang w:eastAsia="en-US"/>
        </w:rPr>
        <w:t>545.48</w:t>
      </w:r>
      <w:r>
        <w:rPr>
          <w:rFonts w:hint="eastAsia" w:ascii="仿宋" w:hAnsi="仿宋" w:eastAsia="仿宋" w:cs="仿宋"/>
          <w:kern w:val="0"/>
          <w:sz w:val="28"/>
          <w:szCs w:val="28"/>
        </w:rPr>
        <w:t>万元，下降</w:t>
      </w:r>
      <w:r>
        <w:rPr>
          <w:rFonts w:hint="eastAsia" w:ascii="仿宋" w:hAnsi="仿宋" w:eastAsia="仿宋" w:cs="仿宋"/>
          <w:kern w:val="0"/>
          <w:sz w:val="28"/>
          <w:szCs w:val="28"/>
          <w:u w:val="none"/>
          <w:lang w:eastAsia="en-US"/>
        </w:rPr>
        <w:t>2.80</w:t>
      </w:r>
      <w:r>
        <w:rPr>
          <w:rFonts w:hint="eastAsia" w:ascii="仿宋" w:hAnsi="仿宋" w:eastAsia="仿宋" w:cs="仿宋"/>
          <w:kern w:val="0"/>
          <w:sz w:val="28"/>
          <w:szCs w:val="28"/>
          <w:lang w:eastAsia="en-US"/>
        </w:rPr>
        <w:t>%</w:t>
      </w:r>
      <w:r>
        <w:rPr>
          <w:rFonts w:hint="eastAsia" w:ascii="仿宋" w:hAnsi="仿宋" w:eastAsia="仿宋" w:cs="仿宋"/>
          <w:kern w:val="0"/>
          <w:sz w:val="28"/>
          <w:szCs w:val="28"/>
        </w:rPr>
        <w:t>，变动原因</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药品、耗材降价，医疗服务价格调整，事业收入（医疗收入）减少</w:t>
      </w:r>
      <w:r>
        <w:rPr>
          <w:rFonts w:hint="eastAsia" w:ascii="仿宋" w:hAnsi="仿宋" w:eastAsia="仿宋" w:cs="仿宋"/>
          <w:kern w:val="0"/>
          <w:sz w:val="28"/>
          <w:szCs w:val="28"/>
        </w:rPr>
        <w:t>；与上年决算相比，收、支总计各增加</w:t>
      </w:r>
      <w:r>
        <w:rPr>
          <w:rFonts w:hint="eastAsia" w:ascii="仿宋" w:hAnsi="仿宋" w:eastAsia="仿宋" w:cs="仿宋"/>
          <w:kern w:val="0"/>
          <w:sz w:val="28"/>
          <w:szCs w:val="28"/>
          <w:u w:val="none"/>
          <w:lang w:eastAsia="en-US"/>
        </w:rPr>
        <w:t>409.94</w:t>
      </w:r>
      <w:r>
        <w:rPr>
          <w:rFonts w:hint="eastAsia" w:ascii="仿宋" w:hAnsi="仿宋" w:eastAsia="仿宋" w:cs="仿宋"/>
          <w:kern w:val="0"/>
          <w:sz w:val="28"/>
          <w:szCs w:val="28"/>
        </w:rPr>
        <w:t>万元，增</w:t>
      </w:r>
      <w:r>
        <w:rPr>
          <w:rFonts w:hint="eastAsia" w:ascii="仿宋" w:hAnsi="仿宋" w:eastAsia="仿宋" w:cs="仿宋"/>
          <w:kern w:val="0"/>
          <w:sz w:val="28"/>
          <w:szCs w:val="28"/>
          <w:lang w:val="en-US" w:eastAsia="zh-CN"/>
        </w:rPr>
        <w:t>长</w:t>
      </w:r>
      <w:r>
        <w:rPr>
          <w:rFonts w:hint="eastAsia" w:ascii="仿宋" w:hAnsi="仿宋" w:eastAsia="仿宋" w:cs="仿宋"/>
          <w:kern w:val="0"/>
          <w:sz w:val="28"/>
          <w:szCs w:val="28"/>
          <w:u w:val="none"/>
          <w:lang w:eastAsia="en-US"/>
        </w:rPr>
        <w:t>2.22</w:t>
      </w:r>
      <w:r>
        <w:rPr>
          <w:rFonts w:hint="eastAsia" w:ascii="仿宋" w:hAnsi="仿宋" w:eastAsia="仿宋" w:cs="仿宋"/>
          <w:kern w:val="0"/>
          <w:sz w:val="28"/>
          <w:szCs w:val="28"/>
          <w:lang w:eastAsia="en-US"/>
        </w:rPr>
        <w:t>%</w:t>
      </w:r>
      <w:r>
        <w:rPr>
          <w:rFonts w:hint="eastAsia" w:ascii="仿宋" w:hAnsi="仿宋" w:eastAsia="仿宋" w:cs="仿宋"/>
          <w:kern w:val="0"/>
          <w:sz w:val="28"/>
          <w:szCs w:val="28"/>
        </w:rPr>
        <w:t>。其中：</w:t>
      </w:r>
    </w:p>
    <w:p w14:paraId="3C566B76">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（一）收入决算总计</w:t>
      </w:r>
      <w:r>
        <w:rPr>
          <w:rFonts w:eastAsia="Times New Roman"/>
          <w:b/>
          <w:bCs/>
          <w:kern w:val="0"/>
          <w:sz w:val="32"/>
          <w:szCs w:val="32"/>
          <w:u w:val="none"/>
          <w:lang w:eastAsia="en-US"/>
        </w:rPr>
        <w:t xml:space="preserve"> 18907.76</w:t>
      </w:r>
      <w:r>
        <w:rPr>
          <w:rFonts w:ascii="楷体" w:hAnsi="楷体" w:eastAsia="楷体" w:cs="楷体"/>
          <w:b/>
          <w:bCs/>
          <w:kern w:val="0"/>
          <w:sz w:val="32"/>
          <w:szCs w:val="32"/>
        </w:rPr>
        <w:t>万元。包括：</w:t>
      </w:r>
    </w:p>
    <w:p w14:paraId="126AED4F">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lang w:eastAsia="en-US"/>
        </w:rPr>
        <w:t>1.</w:t>
      </w:r>
      <w:r>
        <w:rPr>
          <w:rFonts w:hint="eastAsia" w:ascii="仿宋" w:hAnsi="仿宋" w:eastAsia="仿宋" w:cs="仿宋"/>
          <w:kern w:val="0"/>
          <w:sz w:val="28"/>
          <w:szCs w:val="28"/>
        </w:rPr>
        <w:t>本年收入决算合计</w:t>
      </w:r>
      <w:r>
        <w:rPr>
          <w:rFonts w:hint="eastAsia" w:ascii="仿宋" w:hAnsi="仿宋" w:eastAsia="仿宋" w:cs="仿宋"/>
          <w:kern w:val="0"/>
          <w:sz w:val="28"/>
          <w:szCs w:val="28"/>
          <w:u w:val="none"/>
          <w:lang w:eastAsia="en-US"/>
        </w:rPr>
        <w:t>18819.17</w:t>
      </w:r>
      <w:r>
        <w:rPr>
          <w:rFonts w:hint="eastAsia" w:ascii="仿宋" w:hAnsi="仿宋" w:eastAsia="仿宋" w:cs="仿宋"/>
          <w:kern w:val="0"/>
          <w:sz w:val="28"/>
          <w:szCs w:val="28"/>
        </w:rPr>
        <w:t>万元。与上年决算相比，增加</w:t>
      </w:r>
      <w:r>
        <w:rPr>
          <w:rFonts w:hint="eastAsia" w:ascii="仿宋" w:hAnsi="仿宋" w:eastAsia="仿宋" w:cs="仿宋"/>
          <w:kern w:val="0"/>
          <w:sz w:val="28"/>
          <w:szCs w:val="28"/>
          <w:u w:val="none"/>
          <w:lang w:eastAsia="en-US"/>
        </w:rPr>
        <w:t xml:space="preserve"> 321.35</w:t>
      </w:r>
      <w:r>
        <w:rPr>
          <w:rFonts w:hint="eastAsia" w:ascii="仿宋" w:hAnsi="仿宋" w:eastAsia="仿宋" w:cs="仿宋"/>
          <w:kern w:val="0"/>
          <w:sz w:val="28"/>
          <w:szCs w:val="28"/>
        </w:rPr>
        <w:t>万元，增长</w:t>
      </w:r>
      <w:r>
        <w:rPr>
          <w:rFonts w:hint="eastAsia" w:ascii="仿宋" w:hAnsi="仿宋" w:eastAsia="仿宋" w:cs="仿宋"/>
          <w:kern w:val="0"/>
          <w:sz w:val="28"/>
          <w:szCs w:val="28"/>
          <w:u w:val="none"/>
          <w:lang w:eastAsia="en-US"/>
        </w:rPr>
        <w:t>1.74</w:t>
      </w:r>
      <w:r>
        <w:rPr>
          <w:rFonts w:hint="eastAsia" w:ascii="仿宋" w:hAnsi="仿宋" w:eastAsia="仿宋" w:cs="仿宋"/>
          <w:kern w:val="0"/>
          <w:sz w:val="28"/>
          <w:szCs w:val="28"/>
          <w:lang w:eastAsia="en-US"/>
        </w:rPr>
        <w:t>%</w:t>
      </w:r>
      <w:r>
        <w:rPr>
          <w:rFonts w:hint="eastAsia" w:ascii="仿宋" w:hAnsi="仿宋" w:eastAsia="仿宋" w:cs="仿宋"/>
          <w:kern w:val="0"/>
          <w:sz w:val="28"/>
          <w:szCs w:val="28"/>
        </w:rPr>
        <w:t>，变动原因</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本年补发在编人员调标工资，财政基本拨款收入增加</w:t>
      </w:r>
      <w:r>
        <w:rPr>
          <w:rFonts w:hint="eastAsia" w:ascii="仿宋" w:hAnsi="仿宋" w:eastAsia="仿宋" w:cs="仿宋"/>
          <w:kern w:val="0"/>
          <w:sz w:val="28"/>
          <w:szCs w:val="28"/>
        </w:rPr>
        <w:t>。</w:t>
      </w:r>
    </w:p>
    <w:p w14:paraId="06F28ECB">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lang w:eastAsia="en-US"/>
        </w:rPr>
        <w:t>2.</w:t>
      </w:r>
      <w:r>
        <w:rPr>
          <w:rFonts w:hint="eastAsia" w:ascii="仿宋" w:hAnsi="仿宋" w:eastAsia="仿宋" w:cs="仿宋"/>
          <w:kern w:val="0"/>
          <w:sz w:val="28"/>
          <w:szCs w:val="28"/>
          <w:u w:val="none"/>
        </w:rPr>
        <w:t>使用非财政拨款结余（含专用结余）</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万元。与上年决算相比，增加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万元，增长</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，变动原因：</w:t>
      </w:r>
      <w:r>
        <w:rPr>
          <w:rFonts w:hint="eastAsia" w:ascii="仿宋" w:hAnsi="仿宋" w:eastAsia="仿宋" w:cs="仿宋"/>
          <w:kern w:val="0"/>
          <w:sz w:val="28"/>
          <w:szCs w:val="28"/>
          <w:u w:val="none"/>
          <w:lang w:val="en-US" w:eastAsia="zh-CN"/>
        </w:rPr>
        <w:t>本年不存在此项内容</w:t>
      </w:r>
      <w:r>
        <w:rPr>
          <w:rFonts w:hint="eastAsia" w:ascii="仿宋" w:hAnsi="仿宋" w:eastAsia="仿宋" w:cs="仿宋"/>
          <w:kern w:val="0"/>
          <w:sz w:val="28"/>
          <w:szCs w:val="28"/>
          <w:u w:val="none"/>
        </w:rPr>
        <w:t>。</w:t>
      </w:r>
    </w:p>
    <w:p w14:paraId="731EE5BE">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lang w:eastAsia="en-US"/>
        </w:rPr>
        <w:t>3.</w:t>
      </w:r>
      <w:r>
        <w:rPr>
          <w:rFonts w:hint="eastAsia" w:ascii="仿宋" w:hAnsi="仿宋" w:eastAsia="仿宋" w:cs="仿宋"/>
          <w:kern w:val="0"/>
          <w:sz w:val="28"/>
          <w:szCs w:val="28"/>
          <w:u w:val="none"/>
        </w:rPr>
        <w:t>年初结转和结余</w:t>
      </w:r>
      <w:r>
        <w:rPr>
          <w:rFonts w:hint="eastAsia" w:ascii="仿宋" w:hAnsi="仿宋" w:eastAsia="仿宋" w:cs="仿宋"/>
          <w:kern w:val="0"/>
          <w:sz w:val="28"/>
          <w:szCs w:val="28"/>
          <w:u w:val="none"/>
          <w:lang w:eastAsia="en-US"/>
        </w:rPr>
        <w:t>88.59</w:t>
      </w:r>
      <w:r>
        <w:rPr>
          <w:rFonts w:hint="eastAsia" w:ascii="仿宋" w:hAnsi="仿宋" w:eastAsia="仿宋" w:cs="仿宋"/>
          <w:kern w:val="0"/>
          <w:sz w:val="28"/>
          <w:szCs w:val="28"/>
          <w:u w:val="none"/>
        </w:rPr>
        <w:t>万元。与上年决算相比，增加</w:t>
      </w:r>
      <w:r>
        <w:rPr>
          <w:rFonts w:hint="eastAsia" w:ascii="仿宋" w:hAnsi="仿宋" w:eastAsia="仿宋" w:cs="仿宋"/>
          <w:kern w:val="0"/>
          <w:sz w:val="28"/>
          <w:szCs w:val="28"/>
          <w:u w:val="none"/>
          <w:lang w:eastAsia="en-US"/>
        </w:rPr>
        <w:t>88.59</w:t>
      </w:r>
      <w:r>
        <w:rPr>
          <w:rFonts w:hint="eastAsia" w:ascii="仿宋" w:hAnsi="仿宋" w:eastAsia="仿宋" w:cs="仿宋"/>
          <w:kern w:val="0"/>
          <w:sz w:val="28"/>
          <w:szCs w:val="28"/>
          <w:u w:val="none"/>
        </w:rPr>
        <w:t>万元，增长</w:t>
      </w:r>
      <w:r>
        <w:rPr>
          <w:rFonts w:hint="eastAsia" w:ascii="仿宋" w:hAnsi="仿宋" w:eastAsia="仿宋" w:cs="仿宋"/>
          <w:kern w:val="0"/>
          <w:sz w:val="28"/>
          <w:szCs w:val="28"/>
          <w:u w:val="none"/>
          <w:lang w:eastAsia="en-US"/>
        </w:rPr>
        <w:t> </w:t>
      </w:r>
      <w:r>
        <w:rPr>
          <w:rFonts w:hint="eastAsia" w:ascii="仿宋" w:hAnsi="仿宋" w:eastAsia="仿宋" w:cs="仿宋"/>
          <w:kern w:val="0"/>
          <w:sz w:val="28"/>
          <w:szCs w:val="28"/>
          <w:u w:val="none"/>
          <w:lang w:val="en-US" w:eastAsia="zh-CN"/>
        </w:rPr>
        <w:t>10</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，变动原因：</w:t>
      </w:r>
      <w:r>
        <w:rPr>
          <w:rFonts w:hint="eastAsia" w:ascii="仿宋" w:hAnsi="仿宋" w:eastAsia="仿宋" w:cs="仿宋"/>
          <w:kern w:val="0"/>
          <w:sz w:val="28"/>
          <w:szCs w:val="28"/>
          <w:u w:val="none"/>
          <w:lang w:val="en-US" w:eastAsia="zh-CN"/>
        </w:rPr>
        <w:t>上年年末自有资金科研项目结转</w:t>
      </w:r>
      <w:r>
        <w:rPr>
          <w:rFonts w:hint="eastAsia" w:ascii="仿宋" w:hAnsi="仿宋" w:eastAsia="仿宋" w:cs="仿宋"/>
          <w:kern w:val="0"/>
          <w:sz w:val="28"/>
          <w:szCs w:val="28"/>
          <w:u w:val="none"/>
        </w:rPr>
        <w:t>。</w:t>
      </w:r>
    </w:p>
    <w:p w14:paraId="4264C09E">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（二）支出决算总计</w:t>
      </w:r>
      <w:r>
        <w:rPr>
          <w:rFonts w:eastAsia="Times New Roman"/>
          <w:b/>
          <w:bCs/>
          <w:kern w:val="0"/>
          <w:sz w:val="32"/>
          <w:szCs w:val="32"/>
          <w:u w:val="none"/>
          <w:lang w:eastAsia="en-US"/>
        </w:rPr>
        <w:t xml:space="preserve"> 18907.76</w:t>
      </w:r>
      <w:r>
        <w:rPr>
          <w:rFonts w:ascii="楷体" w:hAnsi="楷体" w:eastAsia="楷体" w:cs="楷体"/>
          <w:b/>
          <w:bCs/>
          <w:kern w:val="0"/>
          <w:sz w:val="32"/>
          <w:szCs w:val="32"/>
        </w:rPr>
        <w:t>万元。包括：</w:t>
      </w:r>
    </w:p>
    <w:p w14:paraId="46E326AF">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lang w:eastAsia="en-US"/>
        </w:rPr>
        <w:t>1.</w:t>
      </w:r>
      <w:r>
        <w:rPr>
          <w:rFonts w:hint="eastAsia" w:ascii="仿宋" w:hAnsi="仿宋" w:eastAsia="仿宋" w:cs="仿宋"/>
          <w:kern w:val="0"/>
          <w:sz w:val="28"/>
          <w:szCs w:val="28"/>
          <w:u w:val="none"/>
        </w:rPr>
        <w:t>本年支出决算合计</w:t>
      </w:r>
      <w:r>
        <w:rPr>
          <w:rFonts w:hint="eastAsia" w:ascii="仿宋" w:hAnsi="仿宋" w:eastAsia="仿宋" w:cs="仿宋"/>
          <w:kern w:val="0"/>
          <w:sz w:val="28"/>
          <w:szCs w:val="28"/>
          <w:u w:val="none"/>
          <w:lang w:eastAsia="en-US"/>
        </w:rPr>
        <w:t>17875.58</w:t>
      </w:r>
      <w:r>
        <w:rPr>
          <w:rFonts w:hint="eastAsia" w:ascii="仿宋" w:hAnsi="仿宋" w:eastAsia="仿宋" w:cs="仿宋"/>
          <w:kern w:val="0"/>
          <w:sz w:val="28"/>
          <w:szCs w:val="28"/>
          <w:u w:val="none"/>
        </w:rPr>
        <w:t>万元。与上年决算相比，增加</w:t>
      </w:r>
      <w:r>
        <w:rPr>
          <w:rFonts w:hint="eastAsia" w:ascii="仿宋" w:hAnsi="仿宋" w:eastAsia="仿宋" w:cs="仿宋"/>
          <w:kern w:val="0"/>
          <w:sz w:val="28"/>
          <w:szCs w:val="28"/>
          <w:u w:val="none"/>
          <w:lang w:eastAsia="en-US"/>
        </w:rPr>
        <w:t xml:space="preserve"> 1198.34</w:t>
      </w:r>
      <w:r>
        <w:rPr>
          <w:rFonts w:hint="eastAsia" w:ascii="仿宋" w:hAnsi="仿宋" w:eastAsia="仿宋" w:cs="仿宋"/>
          <w:kern w:val="0"/>
          <w:sz w:val="28"/>
          <w:szCs w:val="28"/>
          <w:u w:val="none"/>
        </w:rPr>
        <w:t>万元，增长</w:t>
      </w:r>
      <w:r>
        <w:rPr>
          <w:rFonts w:hint="eastAsia" w:ascii="仿宋" w:hAnsi="仿宋" w:eastAsia="仿宋" w:cs="仿宋"/>
          <w:kern w:val="0"/>
          <w:sz w:val="28"/>
          <w:szCs w:val="28"/>
          <w:u w:val="none"/>
          <w:lang w:eastAsia="en-US"/>
        </w:rPr>
        <w:t>7.19%</w:t>
      </w:r>
      <w:r>
        <w:rPr>
          <w:rFonts w:hint="eastAsia" w:ascii="仿宋" w:hAnsi="仿宋" w:eastAsia="仿宋" w:cs="仿宋"/>
          <w:kern w:val="0"/>
          <w:sz w:val="28"/>
          <w:szCs w:val="28"/>
          <w:u w:val="none"/>
        </w:rPr>
        <w:t>，</w:t>
      </w:r>
      <w:r>
        <w:rPr>
          <w:rFonts w:hint="eastAsia" w:ascii="仿宋" w:hAnsi="仿宋" w:eastAsia="仿宋" w:cs="仿宋"/>
          <w:kern w:val="0"/>
          <w:sz w:val="28"/>
          <w:szCs w:val="28"/>
        </w:rPr>
        <w:t>变动原因</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本年补发在编人员调标工资，传染病住院楼投入使用水电、取暖费等运营费用增加，因此本年支出增加</w:t>
      </w:r>
      <w:r>
        <w:rPr>
          <w:rFonts w:hint="eastAsia" w:ascii="仿宋" w:hAnsi="仿宋" w:eastAsia="仿宋" w:cs="仿宋"/>
          <w:kern w:val="0"/>
          <w:sz w:val="28"/>
          <w:szCs w:val="28"/>
        </w:rPr>
        <w:t>。</w:t>
      </w:r>
    </w:p>
    <w:p w14:paraId="140AFC96">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lang w:eastAsia="en-US"/>
        </w:rPr>
        <w:t>2.</w:t>
      </w:r>
      <w:r>
        <w:rPr>
          <w:rFonts w:hint="eastAsia" w:ascii="仿宋" w:hAnsi="仿宋" w:eastAsia="仿宋" w:cs="仿宋"/>
          <w:kern w:val="0"/>
          <w:sz w:val="28"/>
          <w:szCs w:val="28"/>
        </w:rPr>
        <w:t>结余分配</w:t>
      </w:r>
      <w:r>
        <w:rPr>
          <w:rFonts w:hint="eastAsia" w:ascii="仿宋" w:hAnsi="仿宋" w:eastAsia="仿宋" w:cs="仿宋"/>
          <w:kern w:val="0"/>
          <w:sz w:val="28"/>
          <w:szCs w:val="28"/>
          <w:u w:val="none"/>
          <w:lang w:eastAsia="en-US"/>
        </w:rPr>
        <w:t>948.10</w:t>
      </w:r>
      <w:r>
        <w:rPr>
          <w:rFonts w:hint="eastAsia" w:ascii="仿宋" w:hAnsi="仿宋" w:eastAsia="仿宋" w:cs="仿宋"/>
          <w:kern w:val="0"/>
          <w:sz w:val="28"/>
          <w:szCs w:val="28"/>
          <w:u w:val="none"/>
        </w:rPr>
        <w:t>万元。结余分配事项</w:t>
      </w:r>
      <w:r>
        <w:rPr>
          <w:rFonts w:hint="eastAsia" w:ascii="仿宋" w:hAnsi="仿宋" w:eastAsia="仿宋" w:cs="仿宋"/>
          <w:kern w:val="0"/>
          <w:sz w:val="28"/>
          <w:szCs w:val="28"/>
          <w:u w:val="none"/>
          <w:lang w:eastAsia="zh-CN"/>
        </w:rPr>
        <w:t>：</w:t>
      </w:r>
      <w:r>
        <w:rPr>
          <w:rFonts w:hint="eastAsia" w:ascii="仿宋" w:hAnsi="仿宋" w:eastAsia="仿宋" w:cs="仿宋"/>
          <w:color w:val="000000"/>
          <w:kern w:val="0"/>
          <w:sz w:val="28"/>
          <w:szCs w:val="28"/>
          <w:u w:val="none"/>
          <w:lang w:val="en-US" w:eastAsia="zh-CN"/>
        </w:rPr>
        <w:t>本年收入减本年支出之差</w:t>
      </w:r>
      <w:r>
        <w:rPr>
          <w:rFonts w:hint="eastAsia" w:ascii="仿宋" w:hAnsi="仿宋" w:eastAsia="仿宋" w:cs="仿宋"/>
          <w:kern w:val="0"/>
          <w:sz w:val="28"/>
          <w:szCs w:val="28"/>
          <w:u w:val="none"/>
        </w:rPr>
        <w:t>。与上年决算相比，减少</w:t>
      </w:r>
      <w:r>
        <w:rPr>
          <w:rFonts w:hint="eastAsia" w:ascii="仿宋" w:hAnsi="仿宋" w:eastAsia="仿宋" w:cs="仿宋"/>
          <w:kern w:val="0"/>
          <w:sz w:val="28"/>
          <w:szCs w:val="28"/>
          <w:u w:val="none"/>
          <w:lang w:eastAsia="en-US"/>
        </w:rPr>
        <w:t>783.88</w:t>
      </w:r>
      <w:r>
        <w:rPr>
          <w:rFonts w:hint="eastAsia" w:ascii="仿宋" w:hAnsi="仿宋" w:eastAsia="仿宋" w:cs="仿宋"/>
          <w:kern w:val="0"/>
          <w:sz w:val="28"/>
          <w:szCs w:val="28"/>
          <w:u w:val="none"/>
        </w:rPr>
        <w:t>万元，下降</w:t>
      </w:r>
      <w:r>
        <w:rPr>
          <w:rFonts w:hint="eastAsia" w:ascii="仿宋" w:hAnsi="仿宋" w:eastAsia="仿宋" w:cs="仿宋"/>
          <w:kern w:val="0"/>
          <w:sz w:val="28"/>
          <w:szCs w:val="28"/>
          <w:u w:val="none"/>
          <w:lang w:eastAsia="en-US"/>
        </w:rPr>
        <w:t>45.26%</w:t>
      </w:r>
      <w:r>
        <w:rPr>
          <w:rFonts w:hint="eastAsia" w:ascii="仿宋" w:hAnsi="仿宋" w:eastAsia="仿宋" w:cs="仿宋"/>
          <w:kern w:val="0"/>
          <w:sz w:val="28"/>
          <w:szCs w:val="28"/>
          <w:u w:val="none"/>
        </w:rPr>
        <w:t>，变动原因</w:t>
      </w:r>
      <w:r>
        <w:rPr>
          <w:rFonts w:hint="eastAsia" w:ascii="仿宋" w:hAnsi="仿宋" w:eastAsia="仿宋" w:cs="仿宋"/>
          <w:kern w:val="0"/>
          <w:sz w:val="28"/>
          <w:szCs w:val="28"/>
          <w:u w:val="none"/>
          <w:lang w:eastAsia="zh-CN"/>
        </w:rPr>
        <w:t>：</w:t>
      </w:r>
      <w:r>
        <w:rPr>
          <w:rFonts w:hint="eastAsia" w:ascii="仿宋" w:hAnsi="仿宋" w:eastAsia="仿宋" w:cs="仿宋"/>
          <w:kern w:val="0"/>
          <w:sz w:val="28"/>
          <w:szCs w:val="28"/>
          <w:u w:val="none"/>
          <w:lang w:val="en-US" w:eastAsia="zh-CN"/>
        </w:rPr>
        <w:t>本</w:t>
      </w:r>
      <w:r>
        <w:rPr>
          <w:rFonts w:hint="eastAsia" w:ascii="仿宋" w:hAnsi="仿宋" w:eastAsia="仿宋" w:cs="仿宋"/>
          <w:kern w:val="0"/>
          <w:sz w:val="28"/>
          <w:szCs w:val="28"/>
          <w:lang w:val="en-US" w:eastAsia="zh-CN"/>
        </w:rPr>
        <w:t>年支出比上年增加，本年结余比上年减少</w:t>
      </w:r>
      <w:r>
        <w:rPr>
          <w:rFonts w:hint="eastAsia" w:ascii="仿宋" w:hAnsi="仿宋" w:eastAsia="仿宋" w:cs="仿宋"/>
          <w:kern w:val="0"/>
          <w:sz w:val="28"/>
          <w:szCs w:val="28"/>
        </w:rPr>
        <w:t>。</w:t>
      </w:r>
    </w:p>
    <w:p w14:paraId="128282AB">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lang w:eastAsia="en-US"/>
        </w:rPr>
        <w:t>3.</w:t>
      </w:r>
      <w:r>
        <w:rPr>
          <w:rFonts w:hint="eastAsia" w:ascii="仿宋" w:hAnsi="仿宋" w:eastAsia="仿宋" w:cs="仿宋"/>
          <w:kern w:val="0"/>
          <w:sz w:val="28"/>
          <w:szCs w:val="28"/>
        </w:rPr>
        <w:t>年末结转和结余</w:t>
      </w:r>
      <w:r>
        <w:rPr>
          <w:rFonts w:hint="eastAsia" w:ascii="仿宋" w:hAnsi="仿宋" w:eastAsia="仿宋" w:cs="仿宋"/>
          <w:kern w:val="0"/>
          <w:sz w:val="28"/>
          <w:szCs w:val="28"/>
          <w:u w:val="none"/>
          <w:lang w:eastAsia="en-US"/>
        </w:rPr>
        <w:t>84.07</w:t>
      </w:r>
      <w:r>
        <w:rPr>
          <w:rFonts w:hint="eastAsia" w:ascii="仿宋" w:hAnsi="仿宋" w:eastAsia="仿宋" w:cs="仿宋"/>
          <w:kern w:val="0"/>
          <w:sz w:val="28"/>
          <w:szCs w:val="28"/>
          <w:u w:val="none"/>
        </w:rPr>
        <w:t>万元。结转和结余事项：</w:t>
      </w:r>
      <w:r>
        <w:rPr>
          <w:rFonts w:hint="eastAsia" w:ascii="仿宋" w:hAnsi="仿宋" w:eastAsia="仿宋" w:cs="仿宋"/>
          <w:kern w:val="0"/>
          <w:sz w:val="28"/>
          <w:szCs w:val="28"/>
          <w:u w:val="none"/>
          <w:lang w:val="en-US" w:eastAsia="zh-CN"/>
        </w:rPr>
        <w:t>自有资金科研项目资金结转</w:t>
      </w:r>
      <w:r>
        <w:rPr>
          <w:rFonts w:hint="eastAsia" w:ascii="仿宋" w:hAnsi="仿宋" w:eastAsia="仿宋" w:cs="仿宋"/>
          <w:kern w:val="0"/>
          <w:sz w:val="28"/>
          <w:szCs w:val="28"/>
          <w:u w:val="none"/>
        </w:rPr>
        <w:t>。与上年决算相比，减少4.52万元，下</w:t>
      </w:r>
      <w:r>
        <w:rPr>
          <w:rFonts w:hint="eastAsia" w:ascii="仿宋" w:hAnsi="仿宋" w:eastAsia="仿宋" w:cs="仿宋"/>
          <w:kern w:val="0"/>
          <w:sz w:val="28"/>
          <w:szCs w:val="28"/>
          <w:u w:val="none"/>
          <w:lang w:val="en-US" w:eastAsia="zh-CN"/>
        </w:rPr>
        <w:t>降</w:t>
      </w:r>
      <w:r>
        <w:rPr>
          <w:rFonts w:hint="eastAsia" w:ascii="仿宋" w:hAnsi="仿宋" w:eastAsia="仿宋" w:cs="仿宋"/>
          <w:kern w:val="0"/>
          <w:sz w:val="28"/>
          <w:szCs w:val="28"/>
          <w:u w:val="none"/>
        </w:rPr>
        <w:t>5.10</w:t>
      </w:r>
      <w:r>
        <w:rPr>
          <w:rFonts w:hint="eastAsia" w:ascii="仿宋" w:hAnsi="仿宋" w:eastAsia="仿宋" w:cs="仿宋"/>
          <w:kern w:val="0"/>
          <w:sz w:val="28"/>
          <w:szCs w:val="28"/>
          <w:u w:val="none"/>
          <w:lang w:eastAsia="en-US"/>
        </w:rPr>
        <w:t>%</w:t>
      </w:r>
      <w:r>
        <w:rPr>
          <w:rFonts w:hint="eastAsia" w:ascii="仿宋" w:hAnsi="仿宋" w:eastAsia="仿宋" w:cs="仿宋"/>
          <w:kern w:val="0"/>
          <w:sz w:val="28"/>
          <w:szCs w:val="28"/>
          <w:u w:val="none"/>
        </w:rPr>
        <w:t>，变动原因</w:t>
      </w:r>
      <w:r>
        <w:rPr>
          <w:rFonts w:hint="eastAsia" w:ascii="仿宋" w:hAnsi="仿宋" w:eastAsia="仿宋" w:cs="仿宋"/>
          <w:kern w:val="0"/>
          <w:sz w:val="28"/>
          <w:szCs w:val="28"/>
          <w:u w:val="none"/>
          <w:lang w:eastAsia="zh-CN"/>
        </w:rPr>
        <w:t>：</w:t>
      </w:r>
      <w:r>
        <w:rPr>
          <w:rFonts w:hint="eastAsia" w:ascii="仿宋" w:hAnsi="仿宋" w:eastAsia="仿宋" w:cs="仿宋"/>
          <w:kern w:val="0"/>
          <w:sz w:val="28"/>
          <w:szCs w:val="28"/>
          <w:lang w:val="en-US" w:eastAsia="zh-CN"/>
        </w:rPr>
        <w:t>本年使用结转科研项目资金</w:t>
      </w:r>
      <w:r>
        <w:rPr>
          <w:rFonts w:hint="eastAsia" w:ascii="仿宋" w:hAnsi="仿宋" w:eastAsia="仿宋" w:cs="仿宋"/>
          <w:kern w:val="0"/>
          <w:sz w:val="28"/>
          <w:szCs w:val="28"/>
        </w:rPr>
        <w:t>。</w:t>
      </w:r>
    </w:p>
    <w:p w14:paraId="53FC5B01">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14:paraId="4125E901">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rPr>
        <w:t>呼伦贝尔市第二人民医院（呼伦贝尔市传染病医院）</w:t>
      </w:r>
      <w:r>
        <w:rPr>
          <w:rFonts w:hint="eastAsia" w:ascii="仿宋" w:hAnsi="仿宋" w:eastAsia="仿宋" w:cs="仿宋"/>
          <w:kern w:val="0"/>
          <w:sz w:val="28"/>
          <w:szCs w:val="28"/>
          <w:lang w:eastAsia="en-US"/>
        </w:rPr>
        <w:t>2025</w:t>
      </w:r>
      <w:r>
        <w:rPr>
          <w:rFonts w:hint="eastAsia" w:ascii="仿宋" w:hAnsi="仿宋" w:eastAsia="仿宋" w:cs="仿宋"/>
          <w:kern w:val="0"/>
          <w:sz w:val="28"/>
          <w:szCs w:val="28"/>
        </w:rPr>
        <w:t>年度本年收入决算合计</w:t>
      </w:r>
      <w:r>
        <w:rPr>
          <w:rFonts w:hint="eastAsia" w:ascii="仿宋" w:hAnsi="仿宋" w:eastAsia="仿宋" w:cs="仿宋"/>
          <w:kern w:val="0"/>
          <w:sz w:val="28"/>
          <w:szCs w:val="28"/>
          <w:u w:val="none"/>
          <w:lang w:eastAsia="en-US"/>
        </w:rPr>
        <w:t>18819.17</w:t>
      </w:r>
      <w:r>
        <w:rPr>
          <w:rFonts w:hint="eastAsia" w:ascii="仿宋" w:hAnsi="仿宋" w:eastAsia="仿宋" w:cs="仿宋"/>
          <w:kern w:val="0"/>
          <w:sz w:val="28"/>
          <w:szCs w:val="28"/>
          <w:u w:val="none"/>
        </w:rPr>
        <w:t>万元，其中：</w:t>
      </w:r>
    </w:p>
    <w:p w14:paraId="64CACE9D">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u w:val="none"/>
        </w:rPr>
        <w:t>一般公共预算财政拨款收入</w:t>
      </w:r>
      <w:r>
        <w:rPr>
          <w:rFonts w:hint="eastAsia" w:ascii="仿宋" w:hAnsi="仿宋" w:eastAsia="仿宋" w:cs="仿宋"/>
          <w:kern w:val="0"/>
          <w:sz w:val="28"/>
          <w:szCs w:val="28"/>
          <w:u w:val="none"/>
          <w:lang w:eastAsia="en-US"/>
        </w:rPr>
        <w:t>3778.58</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20.08%</w:t>
      </w:r>
      <w:r>
        <w:rPr>
          <w:rFonts w:hint="eastAsia" w:ascii="仿宋" w:hAnsi="仿宋" w:eastAsia="仿宋" w:cs="仿宋"/>
          <w:kern w:val="0"/>
          <w:sz w:val="28"/>
          <w:szCs w:val="28"/>
          <w:u w:val="none"/>
        </w:rPr>
        <w:t>；</w:t>
      </w:r>
    </w:p>
    <w:p w14:paraId="1233ECC7">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u w:val="none"/>
        </w:rPr>
        <w:t>政府性基金预算财政拨款收入</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w:t>
      </w:r>
    </w:p>
    <w:p w14:paraId="60F4D311">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u w:val="none"/>
        </w:rPr>
        <w:t>国有资本经营预算财政拨款收入</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w:t>
      </w:r>
    </w:p>
    <w:p w14:paraId="7C900D6E">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u w:val="none"/>
        </w:rPr>
        <w:t>上级补助收入</w:t>
      </w:r>
      <w:r>
        <w:rPr>
          <w:rFonts w:hint="eastAsia" w:ascii="仿宋" w:hAnsi="仿宋" w:eastAsia="仿宋" w:cs="仿宋"/>
          <w:kern w:val="0"/>
          <w:sz w:val="28"/>
          <w:szCs w:val="28"/>
          <w:u w:val="none"/>
          <w:lang w:val="en-US" w:eastAsia="zh-CN"/>
        </w:rPr>
        <w:t>0</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w:t>
      </w:r>
    </w:p>
    <w:p w14:paraId="1435A1C0">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u w:val="none"/>
        </w:rPr>
        <w:t>事业收入</w:t>
      </w:r>
      <w:r>
        <w:rPr>
          <w:rFonts w:hint="eastAsia" w:ascii="仿宋" w:hAnsi="仿宋" w:eastAsia="仿宋" w:cs="仿宋"/>
          <w:kern w:val="0"/>
          <w:sz w:val="28"/>
          <w:szCs w:val="28"/>
          <w:u w:val="none"/>
          <w:lang w:eastAsia="en-US"/>
        </w:rPr>
        <w:t>15025.05</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79.84%</w:t>
      </w:r>
      <w:r>
        <w:rPr>
          <w:rFonts w:hint="eastAsia" w:ascii="仿宋" w:hAnsi="仿宋" w:eastAsia="仿宋" w:cs="仿宋"/>
          <w:kern w:val="0"/>
          <w:sz w:val="28"/>
          <w:szCs w:val="28"/>
          <w:u w:val="none"/>
        </w:rPr>
        <w:t>；</w:t>
      </w:r>
    </w:p>
    <w:p w14:paraId="4065F95A">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u w:val="none"/>
        </w:rPr>
        <w:t>经营收入</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w:t>
      </w:r>
    </w:p>
    <w:p w14:paraId="354B26C5">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u w:val="none"/>
        </w:rPr>
        <w:t>附属单位上缴收入</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w:t>
      </w:r>
    </w:p>
    <w:p w14:paraId="743FC94E">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u w:val="none"/>
        </w:rPr>
        <w:t>其他收入</w:t>
      </w:r>
      <w:r>
        <w:rPr>
          <w:rFonts w:hint="eastAsia" w:ascii="仿宋" w:hAnsi="仿宋" w:eastAsia="仿宋" w:cs="仿宋"/>
          <w:kern w:val="0"/>
          <w:sz w:val="28"/>
          <w:szCs w:val="28"/>
          <w:u w:val="none"/>
          <w:lang w:eastAsia="en-US"/>
        </w:rPr>
        <w:t>15.54</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0.08%</w:t>
      </w:r>
      <w:r>
        <w:rPr>
          <w:rFonts w:hint="eastAsia" w:ascii="仿宋" w:hAnsi="仿宋" w:eastAsia="仿宋" w:cs="仿宋"/>
          <w:kern w:val="0"/>
          <w:sz w:val="28"/>
          <w:szCs w:val="28"/>
          <w:u w:val="none"/>
        </w:rPr>
        <w:t>。</w:t>
      </w:r>
    </w:p>
    <w:p w14:paraId="4366E62E">
      <w:pPr>
        <w:widowControl/>
        <w:spacing w:before="240" w:after="240"/>
        <w:rPr>
          <w:rFonts w:ascii="Times New Roman" w:hAnsi="Times New Roman" w:eastAsia="Times New Roman" w:cs="Times New Roman"/>
          <w:kern w:val="0"/>
          <w:sz w:val="24"/>
        </w:rPr>
      </w:pPr>
    </w:p>
    <w:p w14:paraId="2AAE0430">
      <w:pPr>
        <w:widowControl/>
        <w:tabs>
          <w:tab w:val="left" w:pos="8200"/>
        </w:tabs>
        <w:ind w:right="0" w:rightChars="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1"/>
          <w:szCs w:val="21"/>
          <w:u w:val="none"/>
        </w:rPr>
        <w:drawing>
          <wp:inline distT="0" distB="0" distL="114300" distR="114300">
            <wp:extent cx="5850890" cy="3815715"/>
            <wp:effectExtent l="0" t="0" r="16510" b="1333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6"/>
                    <a:srcRect/>
                    <a:stretch>
                      <a:fillRect/>
                    </a:stretch>
                  </pic:blipFill>
                  <pic:spPr>
                    <a:xfrm>
                      <a:off x="0" y="0"/>
                      <a:ext cx="5850890" cy="3815715"/>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385B5046">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w:t>
      </w:r>
      <w:r>
        <w:rPr>
          <w:rFonts w:hint="eastAsia" w:ascii="仿宋" w:hAnsi="仿宋" w:eastAsia="仿宋" w:cs="仿宋"/>
          <w:kern w:val="0"/>
          <w:sz w:val="27"/>
          <w:szCs w:val="27"/>
        </w:rPr>
        <w:t>1</w:t>
      </w:r>
      <w:r>
        <w:rPr>
          <w:rFonts w:ascii="FangSong_GB2312" w:hAnsi="FangSong_GB2312" w:eastAsia="FangSong_GB2312" w:cs="FangSong_GB2312"/>
          <w:kern w:val="0"/>
          <w:sz w:val="27"/>
          <w:szCs w:val="27"/>
        </w:rPr>
        <w:t>.收入决算图</w:t>
      </w:r>
    </w:p>
    <w:p w14:paraId="6E4E3F90">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14:paraId="7FF556A0">
      <w:pPr>
        <w:pStyle w:val="28"/>
        <w:widowControl/>
        <w:spacing w:before="240" w:after="240" w:line="560" w:lineRule="atLeast"/>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rPr>
        <w:t>呼伦贝尔市第二人民医院（呼伦贝尔市传染病医院）</w:t>
      </w:r>
      <w:r>
        <w:rPr>
          <w:rFonts w:hint="eastAsia" w:ascii="仿宋" w:hAnsi="仿宋" w:eastAsia="仿宋" w:cs="仿宋"/>
          <w:kern w:val="0"/>
          <w:sz w:val="28"/>
          <w:szCs w:val="28"/>
          <w:lang w:eastAsia="en-US"/>
        </w:rPr>
        <w:t>2025</w:t>
      </w:r>
      <w:r>
        <w:rPr>
          <w:rFonts w:hint="eastAsia" w:ascii="仿宋" w:hAnsi="仿宋" w:eastAsia="仿宋" w:cs="仿宋"/>
          <w:kern w:val="0"/>
          <w:sz w:val="28"/>
          <w:szCs w:val="28"/>
        </w:rPr>
        <w:t>年度本年支出决算合计</w:t>
      </w:r>
      <w:r>
        <w:rPr>
          <w:rFonts w:hint="eastAsia" w:ascii="仿宋" w:hAnsi="仿宋" w:eastAsia="仿宋" w:cs="仿宋"/>
          <w:kern w:val="0"/>
          <w:sz w:val="28"/>
          <w:szCs w:val="28"/>
          <w:u w:val="none"/>
          <w:lang w:eastAsia="en-US"/>
        </w:rPr>
        <w:t>17875.58</w:t>
      </w:r>
      <w:r>
        <w:rPr>
          <w:rFonts w:hint="eastAsia" w:ascii="仿宋" w:hAnsi="仿宋" w:eastAsia="仿宋" w:cs="仿宋"/>
          <w:kern w:val="0"/>
          <w:sz w:val="28"/>
          <w:szCs w:val="28"/>
        </w:rPr>
        <w:t>万元，其中：</w:t>
      </w:r>
    </w:p>
    <w:p w14:paraId="6395D77D">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rPr>
        <w:t>基本支出</w:t>
      </w:r>
      <w:r>
        <w:rPr>
          <w:rFonts w:hint="eastAsia" w:ascii="仿宋" w:hAnsi="仿宋" w:eastAsia="仿宋" w:cs="仿宋"/>
          <w:kern w:val="0"/>
          <w:sz w:val="28"/>
          <w:szCs w:val="28"/>
          <w:u w:val="none"/>
          <w:lang w:eastAsia="en-US"/>
        </w:rPr>
        <w:t>17828.89</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99.74%</w:t>
      </w:r>
      <w:r>
        <w:rPr>
          <w:rFonts w:hint="eastAsia" w:ascii="仿宋" w:hAnsi="仿宋" w:eastAsia="仿宋" w:cs="仿宋"/>
          <w:kern w:val="0"/>
          <w:sz w:val="28"/>
          <w:szCs w:val="28"/>
        </w:rPr>
        <w:t>；</w:t>
      </w:r>
    </w:p>
    <w:p w14:paraId="66A49F63">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u w:val="none"/>
        </w:rPr>
        <w:t>项目支出</w:t>
      </w:r>
      <w:r>
        <w:rPr>
          <w:rFonts w:hint="eastAsia" w:ascii="仿宋" w:hAnsi="仿宋" w:eastAsia="仿宋" w:cs="仿宋"/>
          <w:kern w:val="0"/>
          <w:sz w:val="28"/>
          <w:szCs w:val="28"/>
          <w:u w:val="none"/>
          <w:lang w:eastAsia="en-US"/>
        </w:rPr>
        <w:t>46.69</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0.26%</w:t>
      </w:r>
      <w:r>
        <w:rPr>
          <w:rFonts w:hint="eastAsia" w:ascii="仿宋" w:hAnsi="仿宋" w:eastAsia="仿宋" w:cs="仿宋"/>
          <w:kern w:val="0"/>
          <w:sz w:val="28"/>
          <w:szCs w:val="28"/>
          <w:u w:val="none"/>
        </w:rPr>
        <w:t>；</w:t>
      </w:r>
    </w:p>
    <w:p w14:paraId="25589309">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u w:val="none"/>
        </w:rPr>
        <w:t>上缴上级支出</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w:t>
      </w:r>
    </w:p>
    <w:p w14:paraId="64B20ECA">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u w:val="none"/>
        </w:rPr>
        <w:t>经营支出</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w:t>
      </w:r>
    </w:p>
    <w:p w14:paraId="1AB46E09">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u w:val="none"/>
        </w:rPr>
        <w:t>对附属单位补助支出</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w:t>
      </w:r>
    </w:p>
    <w:p w14:paraId="2E7E7C2E">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6104890" cy="3815715"/>
            <wp:effectExtent l="0" t="0" r="10160" b="133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6104890" cy="3815715"/>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614AE1A9">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图2.支出决算图</w:t>
      </w:r>
    </w:p>
    <w:p w14:paraId="5180EDA9">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14:paraId="4C9104B6">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rPr>
        <w:t>呼伦贝尔市第二人民医院（呼伦贝尔市传染病医院）</w:t>
      </w:r>
      <w:r>
        <w:rPr>
          <w:rFonts w:hint="eastAsia" w:ascii="仿宋" w:hAnsi="仿宋" w:eastAsia="仿宋" w:cs="仿宋"/>
          <w:kern w:val="0"/>
          <w:sz w:val="28"/>
          <w:szCs w:val="28"/>
          <w:lang w:eastAsia="en-US"/>
        </w:rPr>
        <w:t>2025</w:t>
      </w:r>
      <w:r>
        <w:rPr>
          <w:rFonts w:hint="eastAsia" w:ascii="仿宋" w:hAnsi="仿宋" w:eastAsia="仿宋" w:cs="仿宋"/>
          <w:kern w:val="0"/>
          <w:sz w:val="28"/>
          <w:szCs w:val="28"/>
        </w:rPr>
        <w:t>年度财政拨款收入、支出决算总计均为</w:t>
      </w:r>
      <w:r>
        <w:rPr>
          <w:rFonts w:hint="eastAsia" w:ascii="仿宋" w:hAnsi="仿宋" w:eastAsia="仿宋" w:cs="仿宋"/>
          <w:kern w:val="0"/>
          <w:sz w:val="28"/>
          <w:szCs w:val="28"/>
          <w:u w:val="none"/>
          <w:lang w:eastAsia="en-US"/>
        </w:rPr>
        <w:t>3778.58</w:t>
      </w:r>
      <w:r>
        <w:rPr>
          <w:rFonts w:hint="eastAsia" w:ascii="仿宋" w:hAnsi="仿宋" w:eastAsia="仿宋" w:cs="仿宋"/>
          <w:kern w:val="0"/>
          <w:sz w:val="28"/>
          <w:szCs w:val="28"/>
          <w:u w:val="none"/>
        </w:rPr>
        <w:t>万元，与年初预算相比，收、支总计各增加</w:t>
      </w:r>
      <w:r>
        <w:rPr>
          <w:rFonts w:hint="eastAsia" w:ascii="仿宋" w:hAnsi="仿宋" w:eastAsia="仿宋" w:cs="仿宋"/>
          <w:kern w:val="0"/>
          <w:sz w:val="28"/>
          <w:szCs w:val="28"/>
          <w:u w:val="none"/>
          <w:lang w:eastAsia="en-US"/>
        </w:rPr>
        <w:t>325.34</w:t>
      </w:r>
      <w:r>
        <w:rPr>
          <w:rFonts w:hint="eastAsia" w:ascii="仿宋" w:hAnsi="仿宋" w:eastAsia="仿宋" w:cs="仿宋"/>
          <w:kern w:val="0"/>
          <w:sz w:val="28"/>
          <w:szCs w:val="28"/>
          <w:u w:val="none"/>
        </w:rPr>
        <w:t>万</w:t>
      </w:r>
      <w:r>
        <w:rPr>
          <w:rFonts w:hint="eastAsia" w:ascii="仿宋" w:hAnsi="仿宋" w:eastAsia="仿宋" w:cs="仿宋"/>
          <w:kern w:val="0"/>
          <w:sz w:val="28"/>
          <w:szCs w:val="28"/>
        </w:rPr>
        <w:t>元，增长</w:t>
      </w:r>
      <w:r>
        <w:rPr>
          <w:rFonts w:hint="eastAsia" w:ascii="仿宋" w:hAnsi="仿宋" w:eastAsia="仿宋" w:cs="仿宋"/>
          <w:kern w:val="0"/>
          <w:sz w:val="28"/>
          <w:szCs w:val="28"/>
          <w:u w:val="none"/>
          <w:lang w:eastAsia="en-US"/>
        </w:rPr>
        <w:t>9.42%</w:t>
      </w:r>
      <w:r>
        <w:rPr>
          <w:rFonts w:hint="eastAsia" w:ascii="仿宋" w:hAnsi="仿宋" w:eastAsia="仿宋" w:cs="仿宋"/>
          <w:kern w:val="0"/>
          <w:sz w:val="28"/>
          <w:szCs w:val="28"/>
          <w:u w:val="none"/>
        </w:rPr>
        <w:t>，变动原因：</w:t>
      </w:r>
      <w:r>
        <w:rPr>
          <w:rFonts w:hint="eastAsia" w:ascii="仿宋" w:hAnsi="仿宋" w:eastAsia="仿宋" w:cs="仿宋"/>
          <w:sz w:val="28"/>
          <w:szCs w:val="28"/>
          <w:u w:val="none"/>
          <w:shd w:val="clear" w:color="auto" w:fill="FFFFFF"/>
          <w:lang w:val="en-US" w:eastAsia="zh-CN"/>
        </w:rPr>
        <w:t>本年年初人员经费预算增加</w:t>
      </w:r>
      <w:r>
        <w:rPr>
          <w:rFonts w:hint="eastAsia" w:ascii="仿宋" w:hAnsi="仿宋" w:eastAsia="仿宋" w:cs="仿宋"/>
          <w:kern w:val="0"/>
          <w:sz w:val="28"/>
          <w:szCs w:val="28"/>
          <w:u w:val="none"/>
          <w:lang w:val="en-US" w:eastAsia="zh-CN"/>
        </w:rPr>
        <w:t>；</w:t>
      </w:r>
      <w:r>
        <w:rPr>
          <w:rFonts w:hint="eastAsia" w:ascii="仿宋" w:hAnsi="仿宋" w:eastAsia="仿宋" w:cs="仿宋"/>
          <w:kern w:val="0"/>
          <w:sz w:val="28"/>
          <w:szCs w:val="28"/>
          <w:u w:val="none"/>
        </w:rPr>
        <w:t>与上年决算相比，收、支总计各增</w:t>
      </w:r>
      <w:r>
        <w:rPr>
          <w:rFonts w:hint="eastAsia" w:ascii="仿宋" w:hAnsi="仿宋" w:eastAsia="仿宋" w:cs="仿宋"/>
          <w:kern w:val="0"/>
          <w:sz w:val="28"/>
          <w:szCs w:val="28"/>
          <w:u w:val="none"/>
          <w:lang w:val="en-US" w:eastAsia="zh-CN"/>
        </w:rPr>
        <w:t>加</w:t>
      </w:r>
      <w:r>
        <w:rPr>
          <w:rFonts w:hint="eastAsia" w:ascii="仿宋" w:hAnsi="仿宋" w:eastAsia="仿宋" w:cs="仿宋"/>
          <w:kern w:val="0"/>
          <w:sz w:val="28"/>
          <w:szCs w:val="28"/>
          <w:u w:val="none"/>
          <w:lang w:eastAsia="en-US"/>
        </w:rPr>
        <w:t>161.70</w:t>
      </w:r>
      <w:r>
        <w:rPr>
          <w:rFonts w:hint="eastAsia" w:ascii="仿宋" w:hAnsi="仿宋" w:eastAsia="仿宋" w:cs="仿宋"/>
          <w:kern w:val="0"/>
          <w:sz w:val="28"/>
          <w:szCs w:val="28"/>
          <w:u w:val="none"/>
        </w:rPr>
        <w:t>万元，增长</w:t>
      </w:r>
      <w:r>
        <w:rPr>
          <w:rFonts w:hint="eastAsia" w:ascii="仿宋" w:hAnsi="仿宋" w:eastAsia="仿宋" w:cs="仿宋"/>
          <w:kern w:val="0"/>
          <w:sz w:val="28"/>
          <w:szCs w:val="28"/>
          <w:u w:val="none"/>
          <w:lang w:eastAsia="en-US"/>
        </w:rPr>
        <w:t>4.47%</w:t>
      </w:r>
      <w:r>
        <w:rPr>
          <w:rFonts w:hint="eastAsia" w:ascii="仿宋" w:hAnsi="仿宋" w:eastAsia="仿宋" w:cs="仿宋"/>
          <w:kern w:val="0"/>
          <w:sz w:val="28"/>
          <w:szCs w:val="28"/>
          <w:u w:val="none"/>
        </w:rPr>
        <w:t>，变动原因</w:t>
      </w:r>
      <w:r>
        <w:rPr>
          <w:rFonts w:hint="eastAsia" w:ascii="仿宋" w:hAnsi="仿宋" w:eastAsia="仿宋" w:cs="仿宋"/>
          <w:kern w:val="0"/>
          <w:sz w:val="28"/>
          <w:szCs w:val="28"/>
          <w:u w:val="none"/>
          <w:lang w:eastAsia="zh-CN"/>
        </w:rPr>
        <w:t>：</w:t>
      </w:r>
      <w:r>
        <w:rPr>
          <w:rFonts w:hint="eastAsia" w:ascii="仿宋" w:hAnsi="仿宋" w:eastAsia="仿宋" w:cs="仿宋"/>
          <w:kern w:val="0"/>
          <w:sz w:val="28"/>
          <w:szCs w:val="28"/>
          <w:u w:val="none"/>
          <w:lang w:val="en-US" w:eastAsia="zh-CN"/>
        </w:rPr>
        <w:t>本年补发在编人员调标工资，财政基本拨款收入增加</w:t>
      </w:r>
      <w:r>
        <w:rPr>
          <w:rFonts w:hint="eastAsia" w:ascii="仿宋" w:hAnsi="仿宋" w:eastAsia="仿宋" w:cs="仿宋"/>
          <w:kern w:val="0"/>
          <w:sz w:val="28"/>
          <w:szCs w:val="28"/>
          <w:u w:val="none"/>
        </w:rPr>
        <w:t>。</w:t>
      </w:r>
    </w:p>
    <w:p w14:paraId="6038AF10">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14:paraId="4394C04C">
      <w:pPr>
        <w:pStyle w:val="28"/>
        <w:widowControl/>
        <w:spacing w:before="240" w:after="240" w:line="560" w:lineRule="atLeast"/>
        <w:ind w:firstLine="560" w:firstLineChars="200"/>
        <w:jc w:val="left"/>
        <w:rPr>
          <w:rFonts w:hint="eastAsia" w:ascii="仿宋" w:hAnsi="仿宋" w:eastAsia="仿宋" w:cs="仿宋"/>
          <w:kern w:val="0"/>
          <w:sz w:val="28"/>
          <w:szCs w:val="28"/>
          <w:u w:val="none"/>
        </w:rPr>
      </w:pPr>
      <w:r>
        <w:rPr>
          <w:rFonts w:hint="eastAsia" w:ascii="仿宋" w:hAnsi="仿宋" w:eastAsia="仿宋" w:cs="仿宋"/>
          <w:kern w:val="0"/>
          <w:sz w:val="28"/>
          <w:szCs w:val="28"/>
        </w:rPr>
        <w:t>呼伦贝尔市第二人民医院（呼伦贝尔市传染病医院）</w:t>
      </w:r>
      <w:r>
        <w:rPr>
          <w:rFonts w:hint="eastAsia" w:ascii="仿宋" w:hAnsi="仿宋" w:eastAsia="仿宋" w:cs="仿宋"/>
          <w:kern w:val="0"/>
          <w:sz w:val="28"/>
          <w:szCs w:val="28"/>
          <w:lang w:eastAsia="en-US"/>
        </w:rPr>
        <w:t>2025</w:t>
      </w:r>
      <w:r>
        <w:rPr>
          <w:rFonts w:hint="eastAsia" w:ascii="仿宋" w:hAnsi="仿宋" w:eastAsia="仿宋" w:cs="仿宋"/>
          <w:kern w:val="0"/>
          <w:sz w:val="28"/>
          <w:szCs w:val="28"/>
        </w:rPr>
        <w:t>年度一般公共预算财政拨款支出决算</w:t>
      </w:r>
      <w:r>
        <w:rPr>
          <w:rFonts w:hint="eastAsia" w:ascii="仿宋" w:hAnsi="仿宋" w:eastAsia="仿宋" w:cs="仿宋"/>
          <w:kern w:val="0"/>
          <w:sz w:val="28"/>
          <w:szCs w:val="28"/>
          <w:u w:val="none"/>
          <w:lang w:eastAsia="en-US"/>
        </w:rPr>
        <w:t>3778.58</w:t>
      </w:r>
      <w:r>
        <w:rPr>
          <w:rFonts w:hint="eastAsia" w:ascii="仿宋" w:hAnsi="仿宋" w:eastAsia="仿宋" w:cs="仿宋"/>
          <w:kern w:val="0"/>
          <w:sz w:val="28"/>
          <w:szCs w:val="28"/>
          <w:u w:val="none"/>
        </w:rPr>
        <w:t>万元。与年初预</w:t>
      </w:r>
      <w:r>
        <w:rPr>
          <w:rFonts w:hint="eastAsia" w:ascii="仿宋" w:hAnsi="仿宋" w:eastAsia="仿宋" w:cs="仿宋"/>
          <w:kern w:val="0"/>
          <w:sz w:val="28"/>
          <w:szCs w:val="28"/>
          <w:u w:val="none"/>
          <w:lang w:val="en-US" w:eastAsia="zh-CN"/>
        </w:rPr>
        <w:t>算</w:t>
      </w:r>
      <w:r>
        <w:rPr>
          <w:rFonts w:hint="eastAsia" w:ascii="仿宋" w:hAnsi="仿宋" w:eastAsia="仿宋" w:cs="仿宋"/>
          <w:kern w:val="0"/>
          <w:sz w:val="28"/>
          <w:szCs w:val="28"/>
          <w:u w:val="none"/>
          <w:lang w:eastAsia="en-US"/>
        </w:rPr>
        <w:t>3453.24</w:t>
      </w:r>
      <w:r>
        <w:rPr>
          <w:rFonts w:hint="eastAsia" w:ascii="仿宋" w:hAnsi="仿宋" w:eastAsia="仿宋" w:cs="仿宋"/>
          <w:kern w:val="0"/>
          <w:sz w:val="28"/>
          <w:szCs w:val="28"/>
          <w:u w:val="none"/>
        </w:rPr>
        <w:t>万元相比，完成年初预算的</w:t>
      </w:r>
      <w:r>
        <w:rPr>
          <w:rFonts w:hint="eastAsia" w:ascii="仿宋" w:hAnsi="仿宋" w:eastAsia="仿宋" w:cs="仿宋"/>
          <w:kern w:val="0"/>
          <w:sz w:val="28"/>
          <w:szCs w:val="28"/>
          <w:u w:val="none"/>
          <w:lang w:eastAsia="en-US"/>
        </w:rPr>
        <w:t>109.42%</w:t>
      </w:r>
      <w:r>
        <w:rPr>
          <w:rFonts w:hint="eastAsia" w:ascii="仿宋" w:hAnsi="仿宋" w:eastAsia="仿宋" w:cs="仿宋"/>
          <w:kern w:val="0"/>
          <w:sz w:val="28"/>
          <w:szCs w:val="28"/>
          <w:u w:val="none"/>
        </w:rPr>
        <w:t>。其中：</w:t>
      </w:r>
    </w:p>
    <w:p w14:paraId="04C6076D">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w:t>
      </w:r>
      <w:r>
        <w:rPr>
          <w:rFonts w:hint="eastAsia" w:ascii="楷体" w:hAnsi="楷体" w:eastAsia="楷体" w:cs="楷体"/>
          <w:b/>
          <w:bCs/>
          <w:kern w:val="0"/>
          <w:sz w:val="32"/>
          <w:szCs w:val="32"/>
          <w:lang w:val="en-US" w:eastAsia="zh-CN"/>
        </w:rPr>
        <w:t>科学技术支出</w:t>
      </w:r>
      <w:r>
        <w:rPr>
          <w:rFonts w:ascii="楷体" w:hAnsi="楷体" w:eastAsia="楷体" w:cs="楷体"/>
          <w:b/>
          <w:bCs/>
          <w:kern w:val="0"/>
          <w:sz w:val="32"/>
          <w:szCs w:val="32"/>
        </w:rPr>
        <w:t>（类）</w:t>
      </w:r>
    </w:p>
    <w:p w14:paraId="62873E35">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u w:val="none"/>
          <w:lang w:val="en-US" w:eastAsia="zh-CN"/>
        </w:rPr>
        <w:t>科学技术支出</w:t>
      </w:r>
      <w:r>
        <w:rPr>
          <w:rFonts w:hint="eastAsia" w:ascii="仿宋" w:hAnsi="仿宋" w:eastAsia="仿宋" w:cs="仿宋"/>
          <w:kern w:val="0"/>
          <w:sz w:val="28"/>
          <w:szCs w:val="28"/>
          <w:u w:val="none"/>
        </w:rPr>
        <w:t>（类）决算数为</w:t>
      </w:r>
      <w:r>
        <w:rPr>
          <w:rFonts w:hint="eastAsia" w:ascii="仿宋" w:hAnsi="仿宋" w:eastAsia="仿宋" w:cs="仿宋"/>
          <w:kern w:val="0"/>
          <w:sz w:val="28"/>
          <w:szCs w:val="28"/>
          <w:u w:val="none"/>
          <w:lang w:val="en-US" w:eastAsia="zh-CN"/>
        </w:rPr>
        <w:t>1.39</w:t>
      </w:r>
      <w:r>
        <w:rPr>
          <w:rFonts w:hint="eastAsia" w:ascii="仿宋" w:hAnsi="仿宋" w:eastAsia="仿宋" w:cs="仿宋"/>
          <w:kern w:val="0"/>
          <w:sz w:val="28"/>
          <w:szCs w:val="28"/>
          <w:u w:val="none"/>
        </w:rPr>
        <w:t>万元，与年初预算相比减少</w:t>
      </w:r>
      <w:r>
        <w:rPr>
          <w:rFonts w:hint="eastAsia" w:ascii="仿宋" w:hAnsi="仿宋" w:eastAsia="仿宋" w:cs="仿宋"/>
          <w:kern w:val="0"/>
          <w:sz w:val="28"/>
          <w:szCs w:val="28"/>
          <w:u w:val="none"/>
          <w:lang w:val="en-US" w:eastAsia="zh-CN"/>
        </w:rPr>
        <w:t>0.62</w:t>
      </w:r>
      <w:r>
        <w:rPr>
          <w:rFonts w:hint="eastAsia" w:ascii="仿宋" w:hAnsi="仿宋" w:eastAsia="仿宋" w:cs="仿宋"/>
          <w:kern w:val="0"/>
          <w:sz w:val="28"/>
          <w:szCs w:val="28"/>
          <w:u w:val="none"/>
        </w:rPr>
        <w:t>万元。其中：</w:t>
      </w:r>
    </w:p>
    <w:p w14:paraId="2D0BC581">
      <w:pPr>
        <w:pStyle w:val="28"/>
        <w:widowControl/>
        <w:spacing w:before="240" w:after="240" w:line="560" w:lineRule="atLeast"/>
        <w:ind w:firstLine="640"/>
        <w:jc w:val="left"/>
        <w:rPr>
          <w:rFonts w:hint="eastAsia" w:ascii="仿宋" w:hAnsi="仿宋" w:eastAsia="仿宋" w:cs="仿宋"/>
          <w:kern w:val="0"/>
          <w:sz w:val="28"/>
          <w:szCs w:val="28"/>
          <w:u w:val="none"/>
          <w:lang w:val="en-US"/>
        </w:rPr>
      </w:pPr>
      <w:r>
        <w:rPr>
          <w:rFonts w:hint="eastAsia" w:ascii="仿宋" w:hAnsi="仿宋" w:eastAsia="仿宋" w:cs="仿宋"/>
          <w:kern w:val="0"/>
          <w:sz w:val="28"/>
          <w:szCs w:val="28"/>
          <w:u w:val="none"/>
          <w:lang w:eastAsia="en-US"/>
        </w:rPr>
        <w:t>1</w:t>
      </w:r>
      <w:r>
        <w:rPr>
          <w:rFonts w:hint="eastAsia" w:ascii="仿宋" w:hAnsi="仿宋" w:eastAsia="仿宋" w:cs="仿宋"/>
          <w:kern w:val="0"/>
          <w:sz w:val="28"/>
          <w:szCs w:val="28"/>
          <w:u w:val="none"/>
        </w:rPr>
        <w:t>．</w:t>
      </w:r>
      <w:r>
        <w:rPr>
          <w:rFonts w:hint="eastAsia" w:ascii="仿宋" w:hAnsi="仿宋" w:eastAsia="仿宋" w:cs="仿宋"/>
          <w:kern w:val="0"/>
          <w:sz w:val="28"/>
          <w:szCs w:val="28"/>
          <w:u w:val="none"/>
          <w:lang w:val="en-US" w:eastAsia="zh-CN"/>
        </w:rPr>
        <w:t>技术研究与开发</w:t>
      </w:r>
      <w:r>
        <w:rPr>
          <w:rFonts w:hint="eastAsia" w:ascii="仿宋" w:hAnsi="仿宋" w:eastAsia="仿宋" w:cs="仿宋"/>
          <w:kern w:val="0"/>
          <w:sz w:val="28"/>
          <w:szCs w:val="28"/>
          <w:u w:val="none"/>
        </w:rPr>
        <w:t>（款）其他技术研究与开发支出（项）。年初预算</w:t>
      </w:r>
      <w:r>
        <w:rPr>
          <w:rFonts w:hint="eastAsia" w:ascii="仿宋" w:hAnsi="仿宋" w:eastAsia="仿宋" w:cs="仿宋"/>
          <w:kern w:val="0"/>
          <w:sz w:val="28"/>
          <w:szCs w:val="28"/>
          <w:u w:val="none"/>
          <w:lang w:val="en-US" w:eastAsia="zh-CN"/>
        </w:rPr>
        <w:t>2.01</w:t>
      </w:r>
      <w:r>
        <w:rPr>
          <w:rFonts w:hint="eastAsia" w:ascii="仿宋" w:hAnsi="仿宋" w:eastAsia="仿宋" w:cs="仿宋"/>
          <w:kern w:val="0"/>
          <w:sz w:val="28"/>
          <w:szCs w:val="28"/>
          <w:u w:val="none"/>
        </w:rPr>
        <w:t>万元，支出决算</w:t>
      </w:r>
      <w:r>
        <w:rPr>
          <w:rFonts w:hint="eastAsia" w:ascii="仿宋" w:hAnsi="仿宋" w:eastAsia="仿宋" w:cs="仿宋"/>
          <w:kern w:val="0"/>
          <w:sz w:val="28"/>
          <w:szCs w:val="28"/>
          <w:u w:val="none"/>
          <w:lang w:val="en-US" w:eastAsia="zh-CN"/>
        </w:rPr>
        <w:t>1.39</w:t>
      </w:r>
      <w:r>
        <w:rPr>
          <w:rFonts w:hint="eastAsia" w:ascii="仿宋" w:hAnsi="仿宋" w:eastAsia="仿宋" w:cs="仿宋"/>
          <w:kern w:val="0"/>
          <w:sz w:val="28"/>
          <w:szCs w:val="28"/>
          <w:u w:val="none"/>
        </w:rPr>
        <w:t>万元，完成年初预算的</w:t>
      </w:r>
      <w:r>
        <w:rPr>
          <w:rFonts w:hint="eastAsia" w:ascii="仿宋" w:hAnsi="仿宋" w:eastAsia="仿宋" w:cs="仿宋"/>
          <w:kern w:val="0"/>
          <w:sz w:val="28"/>
          <w:szCs w:val="28"/>
          <w:u w:val="none"/>
          <w:lang w:val="en-US" w:eastAsia="zh-CN"/>
        </w:rPr>
        <w:t>69.15</w:t>
      </w:r>
      <w:r>
        <w:rPr>
          <w:rFonts w:hint="eastAsia" w:ascii="仿宋" w:hAnsi="仿宋" w:eastAsia="仿宋" w:cs="仿宋"/>
          <w:kern w:val="0"/>
          <w:sz w:val="28"/>
          <w:szCs w:val="28"/>
          <w:u w:val="none"/>
          <w:lang w:eastAsia="en-US"/>
        </w:rPr>
        <w:t>%</w:t>
      </w:r>
      <w:r>
        <w:rPr>
          <w:rFonts w:hint="eastAsia" w:ascii="仿宋" w:hAnsi="仿宋" w:eastAsia="仿宋" w:cs="仿宋"/>
          <w:kern w:val="0"/>
          <w:sz w:val="28"/>
          <w:szCs w:val="28"/>
          <w:u w:val="none"/>
        </w:rPr>
        <w:t>。决算数与年初预算数的差异原因</w:t>
      </w:r>
      <w:r>
        <w:rPr>
          <w:rFonts w:hint="eastAsia" w:ascii="仿宋" w:hAnsi="仿宋" w:eastAsia="仿宋" w:cs="仿宋"/>
          <w:kern w:val="0"/>
          <w:sz w:val="28"/>
          <w:szCs w:val="28"/>
          <w:u w:val="none"/>
          <w:lang w:eastAsia="zh-CN"/>
        </w:rPr>
        <w:t>：</w:t>
      </w:r>
      <w:r>
        <w:rPr>
          <w:rFonts w:hint="eastAsia" w:ascii="仿宋" w:hAnsi="仿宋" w:eastAsia="仿宋" w:cs="仿宋"/>
          <w:kern w:val="0"/>
          <w:sz w:val="28"/>
          <w:szCs w:val="28"/>
          <w:u w:val="none"/>
          <w:lang w:val="en-US" w:eastAsia="zh-CN"/>
        </w:rPr>
        <w:t>科研项目实施过程中部分相关费用未发生，因此决算数小于预算数。</w:t>
      </w:r>
    </w:p>
    <w:p w14:paraId="7453DBA6">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val="en-US" w:eastAsia="zh-CN"/>
        </w:rPr>
        <w:t>二</w:t>
      </w:r>
      <w:r>
        <w:rPr>
          <w:rFonts w:ascii="楷体" w:hAnsi="楷体" w:eastAsia="楷体" w:cs="楷体"/>
          <w:b/>
          <w:bCs/>
          <w:kern w:val="0"/>
          <w:sz w:val="32"/>
          <w:szCs w:val="32"/>
        </w:rPr>
        <w:t>）社会保障和就业支出（类）</w:t>
      </w:r>
    </w:p>
    <w:p w14:paraId="02CDA689">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u w:val="none"/>
        </w:rPr>
        <w:t>社会保障和就业支出（类）决算数为</w:t>
      </w:r>
      <w:r>
        <w:rPr>
          <w:rFonts w:hint="eastAsia" w:ascii="仿宋" w:hAnsi="仿宋" w:eastAsia="仿宋" w:cs="仿宋"/>
          <w:kern w:val="0"/>
          <w:sz w:val="28"/>
          <w:szCs w:val="28"/>
          <w:u w:val="none"/>
          <w:lang w:eastAsia="en-US"/>
        </w:rPr>
        <w:t>1041.31</w:t>
      </w:r>
      <w:r>
        <w:rPr>
          <w:rFonts w:hint="eastAsia" w:ascii="仿宋" w:hAnsi="仿宋" w:eastAsia="仿宋" w:cs="仿宋"/>
          <w:kern w:val="0"/>
          <w:sz w:val="28"/>
          <w:szCs w:val="28"/>
          <w:u w:val="none"/>
        </w:rPr>
        <w:t>万元，与年初预算相比增加</w:t>
      </w:r>
      <w:r>
        <w:rPr>
          <w:rFonts w:hint="eastAsia" w:ascii="仿宋" w:hAnsi="仿宋" w:eastAsia="仿宋" w:cs="仿宋"/>
          <w:kern w:val="0"/>
          <w:sz w:val="28"/>
          <w:szCs w:val="28"/>
          <w:u w:val="none"/>
          <w:lang w:eastAsia="en-US"/>
        </w:rPr>
        <w:t> 35.31</w:t>
      </w:r>
      <w:r>
        <w:rPr>
          <w:rFonts w:hint="eastAsia" w:ascii="仿宋" w:hAnsi="仿宋" w:eastAsia="仿宋" w:cs="仿宋"/>
          <w:kern w:val="0"/>
          <w:sz w:val="28"/>
          <w:szCs w:val="28"/>
          <w:u w:val="none"/>
        </w:rPr>
        <w:t>万元。其中：</w:t>
      </w:r>
    </w:p>
    <w:p w14:paraId="6824AF18">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lang w:eastAsia="en-US"/>
        </w:rPr>
        <w:t>1</w:t>
      </w:r>
      <w:r>
        <w:rPr>
          <w:rFonts w:hint="eastAsia" w:ascii="仿宋" w:hAnsi="仿宋" w:eastAsia="仿宋" w:cs="仿宋"/>
          <w:kern w:val="0"/>
          <w:sz w:val="28"/>
          <w:szCs w:val="28"/>
        </w:rPr>
        <w:t>．行政事业单位养老支出（款）行政单位离退休（项）。年初预算</w:t>
      </w:r>
      <w:r>
        <w:rPr>
          <w:rFonts w:hint="eastAsia" w:ascii="仿宋" w:hAnsi="仿宋" w:eastAsia="仿宋" w:cs="仿宋"/>
          <w:kern w:val="0"/>
          <w:sz w:val="28"/>
          <w:szCs w:val="28"/>
          <w:lang w:val="en-US" w:eastAsia="zh-CN"/>
        </w:rPr>
        <w:t>437.00</w:t>
      </w:r>
      <w:r>
        <w:rPr>
          <w:rFonts w:hint="eastAsia" w:ascii="仿宋" w:hAnsi="仿宋" w:eastAsia="仿宋" w:cs="仿宋"/>
          <w:kern w:val="0"/>
          <w:sz w:val="28"/>
          <w:szCs w:val="28"/>
        </w:rPr>
        <w:t>万元，支出决</w:t>
      </w:r>
      <w:r>
        <w:rPr>
          <w:rFonts w:hint="eastAsia" w:ascii="仿宋" w:hAnsi="仿宋" w:eastAsia="仿宋" w:cs="仿宋"/>
          <w:kern w:val="0"/>
          <w:sz w:val="28"/>
          <w:szCs w:val="28"/>
          <w:lang w:val="en-US" w:eastAsia="zh-CN"/>
        </w:rPr>
        <w:t>算437.00</w:t>
      </w:r>
      <w:r>
        <w:rPr>
          <w:rFonts w:hint="eastAsia" w:ascii="仿宋" w:hAnsi="仿宋" w:eastAsia="仿宋" w:cs="仿宋"/>
          <w:kern w:val="0"/>
          <w:sz w:val="28"/>
          <w:szCs w:val="28"/>
        </w:rPr>
        <w:t>万元，完成年初预算</w:t>
      </w:r>
      <w:r>
        <w:rPr>
          <w:rFonts w:hint="eastAsia" w:ascii="仿宋" w:hAnsi="仿宋" w:eastAsia="仿宋" w:cs="仿宋"/>
          <w:kern w:val="0"/>
          <w:sz w:val="28"/>
          <w:szCs w:val="28"/>
          <w:lang w:val="en-US" w:eastAsia="zh-CN"/>
        </w:rPr>
        <w:t>的100</w:t>
      </w:r>
      <w:r>
        <w:rPr>
          <w:rFonts w:hint="eastAsia" w:ascii="仿宋" w:hAnsi="仿宋" w:eastAsia="仿宋" w:cs="仿宋"/>
          <w:kern w:val="0"/>
          <w:sz w:val="28"/>
          <w:szCs w:val="28"/>
          <w:lang w:eastAsia="en-US"/>
        </w:rPr>
        <w:t>%</w:t>
      </w:r>
      <w:r>
        <w:rPr>
          <w:rFonts w:hint="eastAsia" w:ascii="仿宋" w:hAnsi="仿宋" w:eastAsia="仿宋" w:cs="仿宋"/>
          <w:kern w:val="0"/>
          <w:sz w:val="28"/>
          <w:szCs w:val="28"/>
        </w:rPr>
        <w:t>。决算数与年初预算数</w:t>
      </w:r>
      <w:r>
        <w:rPr>
          <w:rFonts w:hint="eastAsia" w:ascii="仿宋" w:hAnsi="仿宋" w:eastAsia="仿宋" w:cs="仿宋"/>
          <w:kern w:val="0"/>
          <w:sz w:val="28"/>
          <w:szCs w:val="28"/>
          <w:lang w:val="en-US" w:eastAsia="zh-CN"/>
        </w:rPr>
        <w:t>无</w:t>
      </w:r>
      <w:r>
        <w:rPr>
          <w:rFonts w:hint="eastAsia" w:ascii="仿宋" w:hAnsi="仿宋" w:eastAsia="仿宋" w:cs="仿宋"/>
          <w:kern w:val="0"/>
          <w:sz w:val="28"/>
          <w:szCs w:val="28"/>
        </w:rPr>
        <w:t>差异。</w:t>
      </w:r>
    </w:p>
    <w:p w14:paraId="27365469">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lang w:val="en-US" w:eastAsia="zh-CN"/>
        </w:rPr>
        <w:t>2</w:t>
      </w:r>
      <w:r>
        <w:rPr>
          <w:rFonts w:hint="eastAsia" w:ascii="仿宋" w:hAnsi="仿宋" w:eastAsia="仿宋" w:cs="仿宋"/>
          <w:kern w:val="0"/>
          <w:sz w:val="28"/>
          <w:szCs w:val="28"/>
        </w:rPr>
        <w:t>．行政事业单位养老支出（款）机关事业单位基本养老保险缴费支出（项）。年初预算</w:t>
      </w:r>
      <w:r>
        <w:rPr>
          <w:rFonts w:hint="eastAsia" w:ascii="仿宋" w:hAnsi="仿宋" w:eastAsia="仿宋" w:cs="仿宋"/>
          <w:kern w:val="0"/>
          <w:sz w:val="28"/>
          <w:szCs w:val="28"/>
          <w:lang w:val="en-US" w:eastAsia="zh-CN"/>
        </w:rPr>
        <w:t>379.00</w:t>
      </w:r>
      <w:r>
        <w:rPr>
          <w:rFonts w:hint="eastAsia" w:ascii="仿宋" w:hAnsi="仿宋" w:eastAsia="仿宋" w:cs="仿宋"/>
          <w:kern w:val="0"/>
          <w:sz w:val="28"/>
          <w:szCs w:val="28"/>
        </w:rPr>
        <w:t>万元，支出决算</w:t>
      </w:r>
      <w:r>
        <w:rPr>
          <w:rFonts w:hint="eastAsia" w:ascii="仿宋" w:hAnsi="仿宋" w:eastAsia="仿宋" w:cs="仿宋"/>
          <w:kern w:val="0"/>
          <w:sz w:val="28"/>
          <w:szCs w:val="28"/>
          <w:u w:val="none"/>
          <w:lang w:val="en-US" w:eastAsia="zh-CN"/>
        </w:rPr>
        <w:t>402.54</w:t>
      </w:r>
      <w:r>
        <w:rPr>
          <w:rFonts w:hint="eastAsia" w:ascii="仿宋" w:hAnsi="仿宋" w:eastAsia="仿宋" w:cs="仿宋"/>
          <w:kern w:val="0"/>
          <w:sz w:val="28"/>
          <w:szCs w:val="28"/>
          <w:u w:val="none"/>
        </w:rPr>
        <w:t>万元</w:t>
      </w:r>
      <w:r>
        <w:rPr>
          <w:rFonts w:ascii="FangSong_GB2312" w:hAnsi="FangSong_GB2312" w:eastAsia="FangSong_GB2312" w:cs="FangSong_GB2312"/>
          <w:kern w:val="0"/>
          <w:sz w:val="32"/>
          <w:szCs w:val="32"/>
          <w:u w:val="none"/>
        </w:rPr>
        <w:t>，</w:t>
      </w:r>
      <w:r>
        <w:rPr>
          <w:rFonts w:hint="eastAsia" w:ascii="仿宋" w:hAnsi="仿宋" w:eastAsia="仿宋" w:cs="仿宋"/>
          <w:kern w:val="0"/>
          <w:sz w:val="28"/>
          <w:szCs w:val="28"/>
          <w:u w:val="none"/>
        </w:rPr>
        <w:t>完成年初预算的</w:t>
      </w:r>
      <w:r>
        <w:rPr>
          <w:rFonts w:hint="eastAsia" w:ascii="仿宋" w:hAnsi="仿宋" w:eastAsia="仿宋" w:cs="仿宋"/>
          <w:kern w:val="0"/>
          <w:sz w:val="28"/>
          <w:szCs w:val="28"/>
          <w:u w:val="none"/>
          <w:lang w:val="en-US" w:eastAsia="zh-CN"/>
        </w:rPr>
        <w:t>106.21</w:t>
      </w:r>
      <w:r>
        <w:rPr>
          <w:rFonts w:hint="eastAsia" w:ascii="仿宋" w:hAnsi="仿宋" w:eastAsia="仿宋" w:cs="仿宋"/>
          <w:kern w:val="0"/>
          <w:sz w:val="28"/>
          <w:szCs w:val="28"/>
          <w:u w:val="none"/>
          <w:lang w:eastAsia="en-US"/>
        </w:rPr>
        <w:t>%</w:t>
      </w:r>
      <w:r>
        <w:rPr>
          <w:rFonts w:hint="eastAsia" w:ascii="仿宋" w:hAnsi="仿宋" w:eastAsia="仿宋" w:cs="仿宋"/>
          <w:kern w:val="0"/>
          <w:sz w:val="28"/>
          <w:szCs w:val="28"/>
          <w:u w:val="none"/>
        </w:rPr>
        <w:t>。决算数与年初预算数的差异原因</w:t>
      </w:r>
      <w:r>
        <w:rPr>
          <w:rFonts w:hint="eastAsia" w:ascii="仿宋" w:hAnsi="仿宋" w:eastAsia="仿宋" w:cs="仿宋"/>
          <w:kern w:val="0"/>
          <w:sz w:val="28"/>
          <w:szCs w:val="28"/>
          <w:u w:val="none"/>
          <w:lang w:eastAsia="zh-CN"/>
        </w:rPr>
        <w:t>：</w:t>
      </w:r>
      <w:r>
        <w:rPr>
          <w:rFonts w:hint="eastAsia" w:ascii="仿宋" w:hAnsi="仿宋" w:eastAsia="仿宋" w:cs="仿宋"/>
          <w:kern w:val="0"/>
          <w:sz w:val="28"/>
          <w:szCs w:val="28"/>
          <w:u w:val="none"/>
          <w:lang w:val="en-US" w:eastAsia="zh-CN"/>
        </w:rPr>
        <w:t>在编人员工资调标，本年追加机关事业单位基本养老保险经费</w:t>
      </w:r>
      <w:r>
        <w:rPr>
          <w:rFonts w:hint="eastAsia" w:ascii="仿宋" w:hAnsi="仿宋" w:eastAsia="仿宋" w:cs="仿宋"/>
          <w:kern w:val="0"/>
          <w:sz w:val="28"/>
          <w:szCs w:val="28"/>
          <w:u w:val="none"/>
        </w:rPr>
        <w:t>。</w:t>
      </w:r>
    </w:p>
    <w:p w14:paraId="04C5C42B">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3</w:t>
      </w:r>
      <w:r>
        <w:rPr>
          <w:rFonts w:hint="eastAsia" w:ascii="仿宋" w:hAnsi="仿宋" w:eastAsia="仿宋" w:cs="仿宋"/>
          <w:kern w:val="0"/>
          <w:sz w:val="28"/>
          <w:szCs w:val="28"/>
        </w:rPr>
        <w:t>．行政事业单位养老支出（款）机关事业单位职业年金缴费支出（项）。年初预算</w:t>
      </w:r>
      <w:r>
        <w:rPr>
          <w:rFonts w:hint="eastAsia" w:ascii="仿宋" w:hAnsi="仿宋" w:eastAsia="仿宋" w:cs="仿宋"/>
          <w:kern w:val="0"/>
          <w:sz w:val="28"/>
          <w:szCs w:val="28"/>
          <w:u w:val="none"/>
          <w:lang w:val="en-US" w:eastAsia="zh-CN"/>
        </w:rPr>
        <w:t>190.00</w:t>
      </w:r>
      <w:r>
        <w:rPr>
          <w:rFonts w:hint="eastAsia" w:ascii="仿宋" w:hAnsi="仿宋" w:eastAsia="仿宋" w:cs="仿宋"/>
          <w:kern w:val="0"/>
          <w:sz w:val="28"/>
          <w:szCs w:val="28"/>
          <w:u w:val="none"/>
        </w:rPr>
        <w:t>万元，支出决算</w:t>
      </w:r>
      <w:r>
        <w:rPr>
          <w:rFonts w:hint="eastAsia" w:ascii="仿宋" w:hAnsi="仿宋" w:eastAsia="仿宋" w:cs="仿宋"/>
          <w:kern w:val="0"/>
          <w:sz w:val="28"/>
          <w:szCs w:val="28"/>
          <w:u w:val="none"/>
          <w:lang w:val="en-US" w:eastAsia="zh-CN"/>
        </w:rPr>
        <w:t>201.77</w:t>
      </w:r>
      <w:r>
        <w:rPr>
          <w:rFonts w:hint="eastAsia" w:ascii="仿宋" w:hAnsi="仿宋" w:eastAsia="仿宋" w:cs="仿宋"/>
          <w:kern w:val="0"/>
          <w:sz w:val="28"/>
          <w:szCs w:val="28"/>
          <w:u w:val="none"/>
        </w:rPr>
        <w:t>万元，完成年初预算的</w:t>
      </w:r>
      <w:r>
        <w:rPr>
          <w:rFonts w:hint="eastAsia" w:ascii="仿宋" w:hAnsi="仿宋" w:eastAsia="仿宋" w:cs="仿宋"/>
          <w:kern w:val="0"/>
          <w:sz w:val="28"/>
          <w:szCs w:val="28"/>
          <w:u w:val="none"/>
          <w:lang w:val="en-US" w:eastAsia="zh-CN"/>
        </w:rPr>
        <w:t>106.19</w:t>
      </w:r>
      <w:r>
        <w:rPr>
          <w:rFonts w:hint="eastAsia" w:ascii="仿宋" w:hAnsi="仿宋" w:eastAsia="仿宋" w:cs="仿宋"/>
          <w:kern w:val="0"/>
          <w:sz w:val="28"/>
          <w:szCs w:val="28"/>
          <w:u w:val="none"/>
          <w:lang w:eastAsia="en-US"/>
        </w:rPr>
        <w:t>%</w:t>
      </w:r>
      <w:r>
        <w:rPr>
          <w:rFonts w:hint="eastAsia" w:ascii="仿宋" w:hAnsi="仿宋" w:eastAsia="仿宋" w:cs="仿宋"/>
          <w:kern w:val="0"/>
          <w:sz w:val="28"/>
          <w:szCs w:val="28"/>
          <w:u w:val="none"/>
        </w:rPr>
        <w:t>。</w:t>
      </w:r>
      <w:r>
        <w:rPr>
          <w:rFonts w:hint="eastAsia" w:ascii="仿宋" w:hAnsi="仿宋" w:eastAsia="仿宋" w:cs="仿宋"/>
          <w:kern w:val="0"/>
          <w:sz w:val="28"/>
          <w:szCs w:val="28"/>
        </w:rPr>
        <w:t>决算数与年初预算数的差异原因：</w:t>
      </w:r>
      <w:r>
        <w:rPr>
          <w:rFonts w:hint="eastAsia" w:ascii="仿宋" w:hAnsi="仿宋" w:eastAsia="仿宋" w:cs="仿宋"/>
          <w:kern w:val="0"/>
          <w:sz w:val="28"/>
          <w:szCs w:val="28"/>
          <w:lang w:val="en-US" w:eastAsia="zh-CN"/>
        </w:rPr>
        <w:t>在编人员工资调标，本年追加机关事业单位职业年金经费</w:t>
      </w:r>
      <w:r>
        <w:rPr>
          <w:rFonts w:hint="eastAsia" w:ascii="仿宋" w:hAnsi="仿宋" w:eastAsia="仿宋" w:cs="仿宋"/>
          <w:kern w:val="0"/>
          <w:sz w:val="28"/>
          <w:szCs w:val="28"/>
        </w:rPr>
        <w:t>。</w:t>
      </w:r>
    </w:p>
    <w:p w14:paraId="7178E1F8">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val="en-US" w:eastAsia="zh-CN"/>
        </w:rPr>
        <w:t>三</w:t>
      </w:r>
      <w:r>
        <w:rPr>
          <w:rFonts w:ascii="楷体" w:hAnsi="楷体" w:eastAsia="楷体" w:cs="楷体"/>
          <w:b/>
          <w:bCs/>
          <w:kern w:val="0"/>
          <w:sz w:val="32"/>
          <w:szCs w:val="32"/>
        </w:rPr>
        <w:t>）卫生健康支出（类）</w:t>
      </w:r>
    </w:p>
    <w:p w14:paraId="66E78CE8">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rPr>
        <w:t>卫生健康支出（类）决算数为</w:t>
      </w:r>
      <w:r>
        <w:rPr>
          <w:rFonts w:hint="eastAsia" w:ascii="仿宋" w:hAnsi="仿宋" w:eastAsia="仿宋" w:cs="仿宋"/>
          <w:kern w:val="0"/>
          <w:sz w:val="28"/>
          <w:szCs w:val="28"/>
          <w:u w:val="none"/>
          <w:lang w:eastAsia="en-US"/>
        </w:rPr>
        <w:t>2735.87</w:t>
      </w:r>
      <w:r>
        <w:rPr>
          <w:rFonts w:hint="eastAsia" w:ascii="仿宋" w:hAnsi="仿宋" w:eastAsia="仿宋" w:cs="仿宋"/>
          <w:kern w:val="0"/>
          <w:sz w:val="28"/>
          <w:szCs w:val="28"/>
          <w:u w:val="none"/>
        </w:rPr>
        <w:t>万元，与年初预算相比增加</w:t>
      </w:r>
      <w:r>
        <w:rPr>
          <w:rFonts w:hint="eastAsia" w:ascii="仿宋" w:hAnsi="仿宋" w:eastAsia="仿宋" w:cs="仿宋"/>
          <w:kern w:val="0"/>
          <w:sz w:val="28"/>
          <w:szCs w:val="28"/>
          <w:u w:val="none"/>
          <w:lang w:eastAsia="en-US"/>
        </w:rPr>
        <w:t> 290.64</w:t>
      </w:r>
      <w:r>
        <w:rPr>
          <w:rFonts w:hint="eastAsia" w:ascii="仿宋" w:hAnsi="仿宋" w:eastAsia="仿宋" w:cs="仿宋"/>
          <w:kern w:val="0"/>
          <w:sz w:val="28"/>
          <w:szCs w:val="28"/>
          <w:u w:val="none"/>
        </w:rPr>
        <w:t>万元。其中：</w:t>
      </w:r>
    </w:p>
    <w:p w14:paraId="6ADE7444">
      <w:pPr>
        <w:widowControl/>
        <w:numPr>
          <w:ilvl w:val="0"/>
          <w:numId w:val="0"/>
        </w:numPr>
        <w:spacing w:before="240" w:after="240"/>
        <w:ind w:firstLine="560" w:firstLineChars="200"/>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1.</w:t>
      </w:r>
      <w:r>
        <w:rPr>
          <w:rFonts w:hint="eastAsia" w:ascii="仿宋" w:hAnsi="仿宋" w:eastAsia="仿宋" w:cs="仿宋"/>
          <w:kern w:val="0"/>
          <w:sz w:val="28"/>
          <w:szCs w:val="28"/>
          <w:lang w:eastAsia="zh-CN"/>
        </w:rPr>
        <w:t>公立医院</w:t>
      </w:r>
      <w:r>
        <w:rPr>
          <w:rFonts w:hint="eastAsia" w:ascii="仿宋" w:hAnsi="仿宋" w:eastAsia="仿宋" w:cs="仿宋"/>
          <w:kern w:val="0"/>
          <w:sz w:val="28"/>
          <w:szCs w:val="28"/>
        </w:rPr>
        <w:t>（款）</w:t>
      </w:r>
      <w:r>
        <w:rPr>
          <w:rFonts w:hint="eastAsia" w:ascii="仿宋" w:hAnsi="仿宋" w:eastAsia="仿宋" w:cs="仿宋"/>
          <w:kern w:val="0"/>
          <w:sz w:val="28"/>
          <w:szCs w:val="28"/>
          <w:lang w:eastAsia="zh-CN"/>
        </w:rPr>
        <w:t>传染病医院</w:t>
      </w:r>
      <w:r>
        <w:rPr>
          <w:rFonts w:hint="eastAsia" w:ascii="仿宋" w:hAnsi="仿宋" w:eastAsia="仿宋" w:cs="仿宋"/>
          <w:kern w:val="0"/>
          <w:sz w:val="28"/>
          <w:szCs w:val="28"/>
        </w:rPr>
        <w:t>（项）</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年初预算</w:t>
      </w:r>
      <w:r>
        <w:rPr>
          <w:rFonts w:hint="eastAsia" w:ascii="仿宋" w:hAnsi="仿宋" w:eastAsia="仿宋" w:cs="仿宋"/>
          <w:kern w:val="0"/>
          <w:sz w:val="28"/>
          <w:szCs w:val="28"/>
          <w:u w:val="none"/>
          <w:lang w:val="en-US" w:eastAsia="zh-CN"/>
        </w:rPr>
        <w:t>2370.00</w:t>
      </w:r>
      <w:r>
        <w:rPr>
          <w:rFonts w:hint="eastAsia" w:ascii="仿宋" w:hAnsi="仿宋" w:eastAsia="仿宋" w:cs="仿宋"/>
          <w:kern w:val="0"/>
          <w:sz w:val="28"/>
          <w:szCs w:val="28"/>
          <w:lang w:val="en-US" w:eastAsia="zh-CN"/>
        </w:rPr>
        <w:t>万元，支出决算</w:t>
      </w:r>
      <w:r>
        <w:rPr>
          <w:rFonts w:hint="eastAsia" w:ascii="仿宋" w:hAnsi="仿宋" w:eastAsia="仿宋" w:cs="仿宋"/>
          <w:kern w:val="0"/>
          <w:sz w:val="28"/>
          <w:szCs w:val="28"/>
          <w:u w:val="none"/>
          <w:lang w:val="en-US" w:eastAsia="zh-CN"/>
        </w:rPr>
        <w:t>2669.32</w:t>
      </w:r>
      <w:r>
        <w:rPr>
          <w:rFonts w:hint="eastAsia" w:ascii="仿宋" w:hAnsi="仿宋" w:eastAsia="仿宋" w:cs="仿宋"/>
          <w:kern w:val="0"/>
          <w:sz w:val="28"/>
          <w:szCs w:val="28"/>
          <w:lang w:val="en-US" w:eastAsia="zh-CN"/>
        </w:rPr>
        <w:t>万元，完成年初预算的</w:t>
      </w:r>
      <w:r>
        <w:rPr>
          <w:rFonts w:hint="eastAsia" w:ascii="仿宋" w:hAnsi="仿宋" w:eastAsia="仿宋" w:cs="仿宋"/>
          <w:kern w:val="0"/>
          <w:sz w:val="28"/>
          <w:szCs w:val="28"/>
          <w:u w:val="none"/>
          <w:lang w:val="en-US" w:eastAsia="zh-CN"/>
        </w:rPr>
        <w:t>112.63%</w:t>
      </w:r>
      <w:r>
        <w:rPr>
          <w:rFonts w:hint="eastAsia" w:ascii="仿宋" w:hAnsi="仿宋" w:eastAsia="仿宋" w:cs="仿宋"/>
          <w:kern w:val="0"/>
          <w:sz w:val="28"/>
          <w:szCs w:val="28"/>
          <w:lang w:val="en-US" w:eastAsia="zh-CN"/>
        </w:rPr>
        <w:t>。决算数与年初预算数的差异原因：在编人员工资调标，</w:t>
      </w:r>
      <w:r>
        <w:rPr>
          <w:rFonts w:hint="eastAsia" w:ascii="仿宋" w:hAnsi="仿宋" w:eastAsia="仿宋" w:cs="仿宋"/>
          <w:kern w:val="0"/>
          <w:sz w:val="28"/>
          <w:szCs w:val="28"/>
          <w:lang w:eastAsia="zh-CN"/>
        </w:rPr>
        <w:t>本年追加在</w:t>
      </w:r>
      <w:r>
        <w:rPr>
          <w:rFonts w:hint="eastAsia" w:ascii="仿宋" w:hAnsi="仿宋" w:eastAsia="仿宋" w:cs="仿宋"/>
          <w:kern w:val="0"/>
          <w:sz w:val="28"/>
          <w:szCs w:val="28"/>
          <w:lang w:val="en-US" w:eastAsia="zh-CN"/>
        </w:rPr>
        <w:t>编</w:t>
      </w:r>
      <w:r>
        <w:rPr>
          <w:rFonts w:hint="eastAsia" w:ascii="仿宋" w:hAnsi="仿宋" w:eastAsia="仿宋" w:cs="仿宋"/>
          <w:kern w:val="0"/>
          <w:sz w:val="28"/>
          <w:szCs w:val="28"/>
          <w:lang w:eastAsia="zh-CN"/>
        </w:rPr>
        <w:t>人员</w:t>
      </w:r>
      <w:r>
        <w:rPr>
          <w:rFonts w:hint="eastAsia" w:ascii="仿宋" w:hAnsi="仿宋" w:eastAsia="仿宋" w:cs="仿宋"/>
          <w:kern w:val="0"/>
          <w:sz w:val="28"/>
          <w:szCs w:val="28"/>
          <w:lang w:val="en-US" w:eastAsia="zh-CN"/>
        </w:rPr>
        <w:t>工资</w:t>
      </w:r>
      <w:r>
        <w:rPr>
          <w:rFonts w:hint="eastAsia" w:ascii="仿宋" w:hAnsi="仿宋" w:eastAsia="仿宋" w:cs="仿宋"/>
          <w:kern w:val="0"/>
          <w:sz w:val="28"/>
          <w:szCs w:val="28"/>
          <w:lang w:eastAsia="zh-CN"/>
        </w:rPr>
        <w:t>。</w:t>
      </w:r>
    </w:p>
    <w:p w14:paraId="62F6EAD4">
      <w:pPr>
        <w:widowControl/>
        <w:numPr>
          <w:ilvl w:val="0"/>
          <w:numId w:val="0"/>
        </w:numPr>
        <w:spacing w:before="240" w:after="240"/>
        <w:ind w:firstLine="560" w:firstLineChars="20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2.公共卫生（款）重大公共卫生服务（项）。年初预算</w:t>
      </w:r>
      <w:r>
        <w:rPr>
          <w:rFonts w:hint="eastAsia" w:ascii="仿宋" w:hAnsi="仿宋" w:eastAsia="仿宋" w:cs="仿宋"/>
          <w:kern w:val="0"/>
          <w:sz w:val="28"/>
          <w:szCs w:val="28"/>
          <w:u w:val="none"/>
          <w:lang w:val="en-US" w:eastAsia="zh-CN"/>
        </w:rPr>
        <w:t>0.49</w:t>
      </w:r>
      <w:r>
        <w:rPr>
          <w:rFonts w:hint="eastAsia" w:ascii="仿宋" w:hAnsi="仿宋" w:eastAsia="仿宋" w:cs="仿宋"/>
          <w:kern w:val="0"/>
          <w:sz w:val="28"/>
          <w:szCs w:val="28"/>
          <w:lang w:val="en-US" w:eastAsia="zh-CN"/>
        </w:rPr>
        <w:t>万元，支出决算</w:t>
      </w:r>
      <w:r>
        <w:rPr>
          <w:rFonts w:hint="eastAsia" w:ascii="仿宋" w:hAnsi="仿宋" w:eastAsia="仿宋" w:cs="仿宋"/>
          <w:kern w:val="0"/>
          <w:sz w:val="28"/>
          <w:szCs w:val="28"/>
          <w:u w:val="none"/>
          <w:lang w:val="en-US" w:eastAsia="zh-CN"/>
        </w:rPr>
        <w:t>30.34</w:t>
      </w:r>
      <w:r>
        <w:rPr>
          <w:rFonts w:hint="eastAsia" w:ascii="仿宋" w:hAnsi="仿宋" w:eastAsia="仿宋" w:cs="仿宋"/>
          <w:kern w:val="0"/>
          <w:sz w:val="28"/>
          <w:szCs w:val="28"/>
          <w:lang w:val="en-US" w:eastAsia="zh-CN"/>
        </w:rPr>
        <w:t>万元，完成年初预算的</w:t>
      </w:r>
      <w:r>
        <w:rPr>
          <w:rFonts w:hint="eastAsia" w:ascii="仿宋" w:hAnsi="仿宋" w:eastAsia="仿宋" w:cs="仿宋"/>
          <w:kern w:val="0"/>
          <w:sz w:val="28"/>
          <w:szCs w:val="28"/>
          <w:u w:val="none"/>
          <w:lang w:val="en-US" w:eastAsia="zh-CN"/>
        </w:rPr>
        <w:t>6191.84%</w:t>
      </w:r>
      <w:r>
        <w:rPr>
          <w:rFonts w:hint="eastAsia" w:ascii="仿宋" w:hAnsi="仿宋" w:eastAsia="仿宋" w:cs="仿宋"/>
          <w:kern w:val="0"/>
          <w:sz w:val="28"/>
          <w:szCs w:val="28"/>
          <w:lang w:val="en-US" w:eastAsia="zh-CN"/>
        </w:rPr>
        <w:t>。决算数与年初预算数的差异原因：本年追加新冠患者救治项目补助资金。</w:t>
      </w:r>
    </w:p>
    <w:p w14:paraId="49D06644">
      <w:pPr>
        <w:widowControl/>
        <w:numPr>
          <w:ilvl w:val="0"/>
          <w:numId w:val="0"/>
        </w:numPr>
        <w:spacing w:before="240" w:after="240"/>
        <w:ind w:firstLine="560" w:firstLineChars="20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3.公共卫生（款）突发公共卫生事件应急处置（项）。年初预算15.69万元，支出决算10.44万元，完成年初预算的</w:t>
      </w:r>
      <w:r>
        <w:rPr>
          <w:rFonts w:hint="eastAsia" w:ascii="仿宋" w:hAnsi="仿宋" w:eastAsia="仿宋" w:cs="仿宋"/>
          <w:kern w:val="0"/>
          <w:sz w:val="28"/>
          <w:szCs w:val="28"/>
          <w:u w:val="none"/>
          <w:lang w:val="en-US" w:eastAsia="zh-CN"/>
        </w:rPr>
        <w:t>66.54%</w:t>
      </w:r>
      <w:r>
        <w:rPr>
          <w:rFonts w:hint="eastAsia" w:ascii="仿宋" w:hAnsi="仿宋" w:eastAsia="仿宋" w:cs="仿宋"/>
          <w:kern w:val="0"/>
          <w:sz w:val="28"/>
          <w:szCs w:val="28"/>
          <w:lang w:val="en-US" w:eastAsia="zh-CN"/>
        </w:rPr>
        <w:t>。决算数与年初预算数的差异原因：根据批复发放过渡期医务人员临时性工作补助。</w:t>
      </w:r>
    </w:p>
    <w:p w14:paraId="32143546">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4</w:t>
      </w:r>
      <w:r>
        <w:rPr>
          <w:rFonts w:hint="eastAsia" w:ascii="仿宋" w:hAnsi="仿宋" w:eastAsia="仿宋" w:cs="仿宋"/>
          <w:kern w:val="0"/>
          <w:sz w:val="28"/>
          <w:szCs w:val="28"/>
        </w:rPr>
        <w:t>．行政事业单位医疗（款）事业单位医疗（项）。年</w:t>
      </w:r>
      <w:r>
        <w:rPr>
          <w:rFonts w:hint="eastAsia" w:ascii="仿宋" w:hAnsi="仿宋" w:eastAsia="仿宋" w:cs="仿宋"/>
          <w:kern w:val="0"/>
          <w:sz w:val="28"/>
          <w:szCs w:val="28"/>
          <w:u w:val="none"/>
        </w:rPr>
        <w:t>初预算</w:t>
      </w:r>
      <w:r>
        <w:rPr>
          <w:rFonts w:hint="eastAsia" w:ascii="仿宋" w:hAnsi="仿宋" w:eastAsia="仿宋" w:cs="仿宋"/>
          <w:kern w:val="0"/>
          <w:sz w:val="28"/>
          <w:szCs w:val="28"/>
          <w:u w:val="none"/>
          <w:lang w:val="en-US" w:eastAsia="zh-CN"/>
        </w:rPr>
        <w:t>1.90</w:t>
      </w:r>
      <w:r>
        <w:rPr>
          <w:rFonts w:hint="eastAsia" w:ascii="仿宋" w:hAnsi="仿宋" w:eastAsia="仿宋" w:cs="仿宋"/>
          <w:kern w:val="0"/>
          <w:sz w:val="28"/>
          <w:szCs w:val="28"/>
          <w:u w:val="none"/>
        </w:rPr>
        <w:t>万元，支出决算</w:t>
      </w:r>
      <w:r>
        <w:rPr>
          <w:rFonts w:hint="eastAsia" w:ascii="仿宋" w:hAnsi="仿宋" w:eastAsia="仿宋" w:cs="仿宋"/>
          <w:kern w:val="0"/>
          <w:sz w:val="28"/>
          <w:szCs w:val="28"/>
          <w:u w:val="none"/>
          <w:lang w:val="en-US" w:eastAsia="zh-CN"/>
        </w:rPr>
        <w:t>25.77</w:t>
      </w:r>
      <w:r>
        <w:rPr>
          <w:rFonts w:hint="eastAsia" w:ascii="仿宋" w:hAnsi="仿宋" w:eastAsia="仿宋" w:cs="仿宋"/>
          <w:kern w:val="0"/>
          <w:sz w:val="28"/>
          <w:szCs w:val="28"/>
          <w:u w:val="none"/>
        </w:rPr>
        <w:t>万元，完成年初预算的</w:t>
      </w:r>
      <w:r>
        <w:rPr>
          <w:rFonts w:hint="eastAsia" w:ascii="仿宋" w:hAnsi="仿宋" w:eastAsia="仿宋" w:cs="仿宋"/>
          <w:kern w:val="0"/>
          <w:sz w:val="28"/>
          <w:szCs w:val="28"/>
          <w:u w:val="none"/>
          <w:lang w:val="en-US" w:eastAsia="zh-CN"/>
        </w:rPr>
        <w:t>1356.32</w:t>
      </w:r>
      <w:r>
        <w:rPr>
          <w:rFonts w:hint="eastAsia" w:ascii="仿宋" w:hAnsi="仿宋" w:eastAsia="仿宋" w:cs="仿宋"/>
          <w:kern w:val="0"/>
          <w:sz w:val="28"/>
          <w:szCs w:val="28"/>
          <w:u w:val="none"/>
          <w:lang w:eastAsia="en-US"/>
        </w:rPr>
        <w:t>%</w:t>
      </w:r>
      <w:r>
        <w:rPr>
          <w:rFonts w:hint="eastAsia" w:ascii="仿宋" w:hAnsi="仿宋" w:eastAsia="仿宋" w:cs="仿宋"/>
          <w:kern w:val="0"/>
          <w:sz w:val="28"/>
          <w:szCs w:val="28"/>
          <w:u w:val="none"/>
        </w:rPr>
        <w:t>。</w:t>
      </w:r>
      <w:r>
        <w:rPr>
          <w:rFonts w:hint="eastAsia" w:ascii="仿宋" w:hAnsi="仿宋" w:eastAsia="仿宋" w:cs="仿宋"/>
          <w:kern w:val="0"/>
          <w:sz w:val="28"/>
          <w:szCs w:val="28"/>
        </w:rPr>
        <w:t>决算数与年初预算数的差异原因：</w:t>
      </w:r>
      <w:r>
        <w:rPr>
          <w:rFonts w:hint="eastAsia" w:ascii="仿宋" w:hAnsi="仿宋" w:eastAsia="仿宋" w:cs="仿宋"/>
          <w:kern w:val="0"/>
          <w:sz w:val="28"/>
          <w:szCs w:val="28"/>
          <w:lang w:val="en-US" w:eastAsia="zh-CN"/>
        </w:rPr>
        <w:t>本年追加离休干部医药费</w:t>
      </w:r>
      <w:r>
        <w:rPr>
          <w:rFonts w:hint="eastAsia" w:ascii="仿宋" w:hAnsi="仿宋" w:eastAsia="仿宋" w:cs="仿宋"/>
          <w:kern w:val="0"/>
          <w:sz w:val="28"/>
          <w:szCs w:val="28"/>
        </w:rPr>
        <w:t>。</w:t>
      </w:r>
    </w:p>
    <w:p w14:paraId="60F80B00">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六、一般公共预算财政拨款基本支出决算情况说明</w:t>
      </w:r>
    </w:p>
    <w:p w14:paraId="4D6F7C0F">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rPr>
        <w:t>呼伦贝尔市第二人民医院（呼伦贝尔市传染病医院）</w:t>
      </w:r>
      <w:r>
        <w:rPr>
          <w:rFonts w:hint="eastAsia" w:ascii="仿宋" w:hAnsi="仿宋" w:eastAsia="仿宋" w:cs="仿宋"/>
          <w:kern w:val="0"/>
          <w:sz w:val="28"/>
          <w:szCs w:val="28"/>
          <w:lang w:eastAsia="en-US"/>
        </w:rPr>
        <w:t>2025</w:t>
      </w:r>
      <w:r>
        <w:rPr>
          <w:rFonts w:hint="eastAsia" w:ascii="仿宋" w:hAnsi="仿宋" w:eastAsia="仿宋" w:cs="仿宋"/>
          <w:kern w:val="0"/>
          <w:sz w:val="28"/>
          <w:szCs w:val="28"/>
        </w:rPr>
        <w:t>年度一般公共预算财政拨款基本支出决算</w:t>
      </w:r>
      <w:r>
        <w:rPr>
          <w:rFonts w:hint="eastAsia" w:ascii="仿宋" w:hAnsi="仿宋" w:eastAsia="仿宋" w:cs="仿宋"/>
          <w:kern w:val="0"/>
          <w:sz w:val="28"/>
          <w:szCs w:val="28"/>
          <w:u w:val="none"/>
          <w:lang w:eastAsia="en-US"/>
        </w:rPr>
        <w:t>3736.40</w:t>
      </w:r>
      <w:r>
        <w:rPr>
          <w:rFonts w:hint="eastAsia" w:ascii="仿宋" w:hAnsi="仿宋" w:eastAsia="仿宋" w:cs="仿宋"/>
          <w:kern w:val="0"/>
          <w:sz w:val="28"/>
          <w:szCs w:val="28"/>
        </w:rPr>
        <w:t>万元，其中：</w:t>
      </w:r>
    </w:p>
    <w:p w14:paraId="73AC7896">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b/>
          <w:bCs/>
          <w:kern w:val="0"/>
          <w:sz w:val="28"/>
          <w:szCs w:val="28"/>
        </w:rPr>
        <w:t>（一）人员经费</w:t>
      </w:r>
      <w:r>
        <w:rPr>
          <w:rFonts w:hint="eastAsia" w:ascii="仿宋" w:hAnsi="仿宋" w:eastAsia="仿宋" w:cs="仿宋"/>
          <w:kern w:val="0"/>
          <w:sz w:val="28"/>
          <w:szCs w:val="28"/>
          <w:u w:val="none"/>
          <w:lang w:eastAsia="en-US"/>
        </w:rPr>
        <w:t xml:space="preserve"> 3736.40</w:t>
      </w:r>
      <w:r>
        <w:rPr>
          <w:rFonts w:hint="eastAsia" w:ascii="仿宋" w:hAnsi="仿宋" w:eastAsia="仿宋" w:cs="仿宋"/>
          <w:b/>
          <w:bCs/>
          <w:kern w:val="0"/>
          <w:sz w:val="28"/>
          <w:szCs w:val="28"/>
        </w:rPr>
        <w:t>万元。</w:t>
      </w:r>
      <w:r>
        <w:rPr>
          <w:rFonts w:hint="eastAsia" w:ascii="仿宋" w:hAnsi="仿宋" w:eastAsia="仿宋" w:cs="仿宋"/>
          <w:kern w:val="0"/>
          <w:sz w:val="28"/>
          <w:szCs w:val="28"/>
        </w:rPr>
        <w:t>主要包括：基本工资</w:t>
      </w:r>
      <w:r>
        <w:rPr>
          <w:rFonts w:hint="eastAsia" w:ascii="仿宋" w:hAnsi="仿宋" w:eastAsia="仿宋" w:cs="仿宋"/>
          <w:kern w:val="0"/>
          <w:sz w:val="28"/>
          <w:szCs w:val="28"/>
          <w:lang w:val="en-US" w:eastAsia="zh-CN"/>
        </w:rPr>
        <w:t>2595.32万元</w:t>
      </w:r>
      <w:r>
        <w:rPr>
          <w:rFonts w:hint="eastAsia" w:ascii="仿宋" w:hAnsi="仿宋" w:eastAsia="仿宋" w:cs="仿宋"/>
          <w:kern w:val="0"/>
          <w:sz w:val="28"/>
          <w:szCs w:val="28"/>
        </w:rPr>
        <w:t>、奖金</w:t>
      </w:r>
      <w:r>
        <w:rPr>
          <w:rFonts w:hint="eastAsia" w:ascii="仿宋" w:hAnsi="仿宋" w:eastAsia="仿宋" w:cs="仿宋"/>
          <w:kern w:val="0"/>
          <w:sz w:val="28"/>
          <w:szCs w:val="28"/>
          <w:lang w:val="en-US" w:eastAsia="zh-CN"/>
        </w:rPr>
        <w:t>74.00万元</w:t>
      </w:r>
      <w:r>
        <w:rPr>
          <w:rFonts w:hint="eastAsia" w:ascii="仿宋" w:hAnsi="仿宋" w:eastAsia="仿宋" w:cs="仿宋"/>
          <w:kern w:val="0"/>
          <w:sz w:val="28"/>
          <w:szCs w:val="28"/>
        </w:rPr>
        <w:t>、机关事业单位基本养老保险缴费</w:t>
      </w:r>
      <w:r>
        <w:rPr>
          <w:rFonts w:hint="eastAsia" w:ascii="仿宋" w:hAnsi="仿宋" w:eastAsia="仿宋" w:cs="仿宋"/>
          <w:kern w:val="0"/>
          <w:sz w:val="28"/>
          <w:szCs w:val="28"/>
          <w:lang w:val="en-US" w:eastAsia="zh-CN"/>
        </w:rPr>
        <w:t>402.54万元</w:t>
      </w:r>
      <w:r>
        <w:rPr>
          <w:rFonts w:hint="eastAsia" w:ascii="仿宋" w:hAnsi="仿宋" w:eastAsia="仿宋" w:cs="仿宋"/>
          <w:kern w:val="0"/>
          <w:sz w:val="28"/>
          <w:szCs w:val="28"/>
        </w:rPr>
        <w:t>、职业年金缴费</w:t>
      </w:r>
      <w:r>
        <w:rPr>
          <w:rFonts w:hint="eastAsia" w:ascii="仿宋" w:hAnsi="仿宋" w:eastAsia="仿宋" w:cs="仿宋"/>
          <w:kern w:val="0"/>
          <w:sz w:val="28"/>
          <w:szCs w:val="28"/>
          <w:lang w:val="en-US" w:eastAsia="zh-CN"/>
        </w:rPr>
        <w:t>201.77万元</w:t>
      </w:r>
      <w:r>
        <w:rPr>
          <w:rFonts w:hint="eastAsia" w:ascii="仿宋" w:hAnsi="仿宋" w:eastAsia="仿宋" w:cs="仿宋"/>
          <w:kern w:val="0"/>
          <w:sz w:val="28"/>
          <w:szCs w:val="28"/>
        </w:rPr>
        <w:t>、离休费</w:t>
      </w:r>
      <w:r>
        <w:rPr>
          <w:rFonts w:hint="eastAsia" w:ascii="仿宋" w:hAnsi="仿宋" w:eastAsia="仿宋" w:cs="仿宋"/>
          <w:kern w:val="0"/>
          <w:sz w:val="28"/>
          <w:szCs w:val="28"/>
          <w:lang w:val="en-US" w:eastAsia="zh-CN"/>
        </w:rPr>
        <w:t>46.00万元</w:t>
      </w:r>
      <w:r>
        <w:rPr>
          <w:rFonts w:hint="eastAsia" w:ascii="仿宋" w:hAnsi="仿宋" w:eastAsia="仿宋" w:cs="仿宋"/>
          <w:kern w:val="0"/>
          <w:sz w:val="28"/>
          <w:szCs w:val="28"/>
        </w:rPr>
        <w:t>、退休费</w:t>
      </w:r>
      <w:r>
        <w:rPr>
          <w:rFonts w:hint="eastAsia" w:ascii="仿宋" w:hAnsi="仿宋" w:eastAsia="仿宋" w:cs="仿宋"/>
          <w:kern w:val="0"/>
          <w:sz w:val="28"/>
          <w:szCs w:val="28"/>
          <w:lang w:val="en-US" w:eastAsia="zh-CN"/>
        </w:rPr>
        <w:t>391.00万元</w:t>
      </w:r>
      <w:r>
        <w:rPr>
          <w:rFonts w:hint="eastAsia" w:ascii="仿宋" w:hAnsi="仿宋" w:eastAsia="仿宋" w:cs="仿宋"/>
          <w:kern w:val="0"/>
          <w:sz w:val="28"/>
          <w:szCs w:val="28"/>
        </w:rPr>
        <w:t>、医疗费补助</w:t>
      </w:r>
      <w:r>
        <w:rPr>
          <w:rFonts w:hint="eastAsia" w:ascii="仿宋" w:hAnsi="仿宋" w:eastAsia="仿宋" w:cs="仿宋"/>
          <w:kern w:val="0"/>
          <w:sz w:val="28"/>
          <w:szCs w:val="28"/>
          <w:lang w:val="en-US" w:eastAsia="zh-CN"/>
        </w:rPr>
        <w:t>25.77万元</w:t>
      </w:r>
      <w:r>
        <w:rPr>
          <w:rFonts w:hint="eastAsia" w:ascii="仿宋" w:hAnsi="仿宋" w:eastAsia="仿宋" w:cs="仿宋"/>
          <w:kern w:val="0"/>
          <w:sz w:val="28"/>
          <w:szCs w:val="28"/>
        </w:rPr>
        <w:t>。</w:t>
      </w:r>
    </w:p>
    <w:p w14:paraId="5B39287D">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b/>
          <w:bCs/>
          <w:kern w:val="0"/>
          <w:sz w:val="28"/>
          <w:szCs w:val="28"/>
        </w:rPr>
        <w:t>（二）公用经费</w:t>
      </w:r>
      <w:r>
        <w:rPr>
          <w:rFonts w:hint="eastAsia" w:ascii="仿宋" w:hAnsi="仿宋" w:eastAsia="仿宋" w:cs="仿宋"/>
          <w:kern w:val="0"/>
          <w:sz w:val="28"/>
          <w:szCs w:val="28"/>
          <w:u w:val="none"/>
          <w:lang w:eastAsia="en-US"/>
        </w:rPr>
        <w:t xml:space="preserve"> 0</w:t>
      </w:r>
      <w:r>
        <w:rPr>
          <w:rFonts w:hint="eastAsia" w:ascii="仿宋" w:hAnsi="仿宋" w:eastAsia="仿宋" w:cs="仿宋"/>
          <w:b/>
          <w:bCs/>
          <w:kern w:val="0"/>
          <w:sz w:val="28"/>
          <w:szCs w:val="28"/>
        </w:rPr>
        <w:t>万元。</w:t>
      </w:r>
    </w:p>
    <w:p w14:paraId="2FE3FF53">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14:paraId="17024C38">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rPr>
        <w:t>呼伦贝尔市第二人民医院（呼伦贝尔市传染病医院）</w:t>
      </w:r>
      <w:r>
        <w:rPr>
          <w:rFonts w:hint="eastAsia" w:ascii="仿宋" w:hAnsi="仿宋" w:eastAsia="仿宋" w:cs="仿宋"/>
          <w:kern w:val="0"/>
          <w:sz w:val="28"/>
          <w:szCs w:val="28"/>
          <w:lang w:eastAsia="en-US"/>
        </w:rPr>
        <w:t>2025</w:t>
      </w:r>
      <w:r>
        <w:rPr>
          <w:rFonts w:hint="eastAsia" w:ascii="仿宋" w:hAnsi="仿宋" w:eastAsia="仿宋" w:cs="仿宋"/>
          <w:kern w:val="0"/>
          <w:sz w:val="28"/>
          <w:szCs w:val="28"/>
        </w:rPr>
        <w:t>年度一般公共预算财政拨款项目支出决算</w:t>
      </w:r>
      <w:r>
        <w:rPr>
          <w:rFonts w:hint="eastAsia" w:ascii="仿宋" w:hAnsi="仿宋" w:eastAsia="仿宋" w:cs="仿宋"/>
          <w:kern w:val="0"/>
          <w:sz w:val="28"/>
          <w:szCs w:val="28"/>
          <w:u w:val="none"/>
          <w:lang w:eastAsia="en-US"/>
        </w:rPr>
        <w:t>42.18</w:t>
      </w:r>
      <w:r>
        <w:rPr>
          <w:rFonts w:hint="eastAsia" w:ascii="仿宋" w:hAnsi="仿宋" w:eastAsia="仿宋" w:cs="仿宋"/>
          <w:kern w:val="0"/>
          <w:sz w:val="28"/>
          <w:szCs w:val="28"/>
        </w:rPr>
        <w:t>万元，其中：</w:t>
      </w:r>
    </w:p>
    <w:p w14:paraId="5B0811BD">
      <w:pPr>
        <w:pStyle w:val="28"/>
        <w:widowControl/>
        <w:spacing w:before="240" w:after="240" w:line="560" w:lineRule="atLeast"/>
        <w:ind w:firstLine="64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（一）工资福利支出</w:t>
      </w:r>
      <w:r>
        <w:rPr>
          <w:rFonts w:hint="eastAsia" w:ascii="仿宋" w:hAnsi="仿宋" w:eastAsia="仿宋" w:cs="仿宋"/>
          <w:kern w:val="0"/>
          <w:sz w:val="28"/>
          <w:szCs w:val="28"/>
          <w:u w:val="none"/>
          <w:lang w:eastAsia="en-US"/>
        </w:rPr>
        <w:t xml:space="preserve"> 0</w:t>
      </w:r>
      <w:r>
        <w:rPr>
          <w:rFonts w:hint="eastAsia" w:ascii="仿宋" w:hAnsi="仿宋" w:eastAsia="仿宋" w:cs="仿宋"/>
          <w:b/>
          <w:bCs/>
          <w:kern w:val="0"/>
          <w:sz w:val="28"/>
          <w:szCs w:val="28"/>
        </w:rPr>
        <w:t>万元。</w:t>
      </w:r>
    </w:p>
    <w:p w14:paraId="4585DAA5">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b/>
          <w:bCs/>
          <w:kern w:val="0"/>
          <w:sz w:val="28"/>
          <w:szCs w:val="28"/>
        </w:rPr>
        <w:t>（二）商品和服务支出</w:t>
      </w:r>
      <w:r>
        <w:rPr>
          <w:rFonts w:hint="eastAsia" w:ascii="仿宋" w:hAnsi="仿宋" w:eastAsia="仿宋" w:cs="仿宋"/>
          <w:kern w:val="0"/>
          <w:sz w:val="28"/>
          <w:szCs w:val="28"/>
          <w:u w:val="none"/>
          <w:lang w:eastAsia="en-US"/>
        </w:rPr>
        <w:t xml:space="preserve"> 1.88</w:t>
      </w:r>
      <w:r>
        <w:rPr>
          <w:rFonts w:hint="eastAsia" w:ascii="仿宋" w:hAnsi="仿宋" w:eastAsia="仿宋" w:cs="仿宋"/>
          <w:b/>
          <w:bCs/>
          <w:kern w:val="0"/>
          <w:sz w:val="28"/>
          <w:szCs w:val="28"/>
        </w:rPr>
        <w:t>万元。</w:t>
      </w:r>
      <w:r>
        <w:rPr>
          <w:rFonts w:hint="eastAsia" w:ascii="仿宋" w:hAnsi="仿宋" w:eastAsia="仿宋" w:cs="仿宋"/>
          <w:kern w:val="0"/>
          <w:sz w:val="28"/>
          <w:szCs w:val="28"/>
        </w:rPr>
        <w:t>主要包括：印刷费</w:t>
      </w:r>
      <w:r>
        <w:rPr>
          <w:rFonts w:hint="eastAsia" w:ascii="仿宋" w:hAnsi="仿宋" w:eastAsia="仿宋" w:cs="仿宋"/>
          <w:kern w:val="0"/>
          <w:sz w:val="28"/>
          <w:szCs w:val="28"/>
          <w:lang w:val="en-US" w:eastAsia="zh-CN"/>
        </w:rPr>
        <w:t>0.45万元</w:t>
      </w: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邮电费0.03万元、</w:t>
      </w:r>
      <w:r>
        <w:rPr>
          <w:rFonts w:hint="eastAsia" w:ascii="仿宋" w:hAnsi="仿宋" w:eastAsia="仿宋" w:cs="仿宋"/>
          <w:kern w:val="0"/>
          <w:sz w:val="28"/>
          <w:szCs w:val="28"/>
        </w:rPr>
        <w:t>差旅费</w:t>
      </w:r>
      <w:r>
        <w:rPr>
          <w:rFonts w:hint="eastAsia" w:ascii="仿宋" w:hAnsi="仿宋" w:eastAsia="仿宋" w:cs="仿宋"/>
          <w:kern w:val="0"/>
          <w:sz w:val="28"/>
          <w:szCs w:val="28"/>
          <w:lang w:val="en-US" w:eastAsia="zh-CN"/>
        </w:rPr>
        <w:t>0.79万元</w:t>
      </w:r>
      <w:r>
        <w:rPr>
          <w:rFonts w:hint="eastAsia" w:ascii="仿宋" w:hAnsi="仿宋" w:eastAsia="仿宋" w:cs="仿宋"/>
          <w:kern w:val="0"/>
          <w:sz w:val="28"/>
          <w:szCs w:val="28"/>
        </w:rPr>
        <w:t>、专用材料费</w:t>
      </w:r>
      <w:r>
        <w:rPr>
          <w:rFonts w:hint="eastAsia" w:ascii="仿宋" w:hAnsi="仿宋" w:eastAsia="仿宋" w:cs="仿宋"/>
          <w:kern w:val="0"/>
          <w:sz w:val="28"/>
          <w:szCs w:val="28"/>
          <w:lang w:val="en-US" w:eastAsia="zh-CN"/>
        </w:rPr>
        <w:t>0.46万元</w:t>
      </w:r>
      <w:r>
        <w:rPr>
          <w:rFonts w:hint="eastAsia" w:ascii="仿宋" w:hAnsi="仿宋" w:eastAsia="仿宋" w:cs="仿宋"/>
          <w:kern w:val="0"/>
          <w:sz w:val="28"/>
          <w:szCs w:val="28"/>
        </w:rPr>
        <w:t>、劳务费</w:t>
      </w:r>
      <w:r>
        <w:rPr>
          <w:rFonts w:hint="eastAsia" w:ascii="仿宋" w:hAnsi="仿宋" w:eastAsia="仿宋" w:cs="仿宋"/>
          <w:kern w:val="0"/>
          <w:sz w:val="28"/>
          <w:szCs w:val="28"/>
          <w:lang w:val="en-US" w:eastAsia="zh-CN"/>
        </w:rPr>
        <w:t>0.15万元</w:t>
      </w:r>
      <w:r>
        <w:rPr>
          <w:rFonts w:hint="eastAsia" w:ascii="仿宋" w:hAnsi="仿宋" w:eastAsia="仿宋" w:cs="仿宋"/>
          <w:kern w:val="0"/>
          <w:sz w:val="28"/>
          <w:szCs w:val="28"/>
        </w:rPr>
        <w:t>。</w:t>
      </w:r>
    </w:p>
    <w:p w14:paraId="55731BA9">
      <w:pPr>
        <w:widowControl/>
        <w:numPr>
          <w:ilvl w:val="0"/>
          <w:numId w:val="0"/>
        </w:numPr>
        <w:spacing w:before="240" w:after="240"/>
        <w:ind w:firstLine="562" w:firstLineChars="200"/>
        <w:rPr>
          <w:rFonts w:hint="eastAsia" w:ascii="仿宋" w:hAnsi="仿宋" w:eastAsia="仿宋" w:cs="仿宋"/>
          <w:kern w:val="0"/>
          <w:sz w:val="28"/>
          <w:szCs w:val="28"/>
          <w:lang w:val="en-US"/>
        </w:rPr>
      </w:pPr>
      <w:r>
        <w:rPr>
          <w:rFonts w:hint="eastAsia" w:ascii="仿宋" w:hAnsi="仿宋" w:eastAsia="仿宋" w:cs="仿宋"/>
          <w:b/>
          <w:bCs/>
          <w:color w:val="000000"/>
          <w:kern w:val="0"/>
          <w:sz w:val="28"/>
          <w:szCs w:val="28"/>
          <w:lang w:val="en-US" w:eastAsia="zh-CN"/>
        </w:rPr>
        <w:t>（三）对个人和家庭的补助</w:t>
      </w:r>
      <w:r>
        <w:rPr>
          <w:rFonts w:hint="eastAsia" w:ascii="仿宋" w:hAnsi="仿宋" w:eastAsia="仿宋" w:cs="仿宋"/>
          <w:b/>
          <w:bCs/>
          <w:color w:val="000000"/>
          <w:kern w:val="0"/>
          <w:sz w:val="28"/>
          <w:szCs w:val="28"/>
          <w:u w:val="none"/>
          <w:lang w:val="en-US" w:eastAsia="zh-CN"/>
        </w:rPr>
        <w:t>40.29</w:t>
      </w:r>
      <w:r>
        <w:rPr>
          <w:rFonts w:hint="eastAsia" w:ascii="仿宋" w:hAnsi="仿宋" w:eastAsia="仿宋" w:cs="仿宋"/>
          <w:b/>
          <w:bCs/>
          <w:color w:val="000000"/>
          <w:kern w:val="0"/>
          <w:sz w:val="28"/>
          <w:szCs w:val="28"/>
          <w:lang w:val="en-US" w:eastAsia="zh-CN"/>
        </w:rPr>
        <w:t>万元。</w:t>
      </w:r>
      <w:r>
        <w:rPr>
          <w:rFonts w:hint="eastAsia" w:ascii="仿宋" w:hAnsi="仿宋" w:eastAsia="仿宋" w:cs="仿宋"/>
          <w:b w:val="0"/>
          <w:bCs w:val="0"/>
          <w:color w:val="000000"/>
          <w:kern w:val="0"/>
          <w:sz w:val="28"/>
          <w:szCs w:val="28"/>
          <w:lang w:val="en-US" w:eastAsia="zh-CN"/>
        </w:rPr>
        <w:t>主要包括：其他对个人和家庭的补助40.29万元。支出分别为支付过渡期新冠肺炎患者个人负担部分医药费29.85万元及发放过渡期前医务人员临时性工作补助10.44万元。</w:t>
      </w:r>
    </w:p>
    <w:p w14:paraId="4B177D84">
      <w:pPr>
        <w:pStyle w:val="28"/>
        <w:widowControl/>
        <w:spacing w:before="240" w:after="240" w:line="560" w:lineRule="atLeast"/>
        <w:ind w:firstLine="562" w:firstLineChars="200"/>
        <w:jc w:val="left"/>
        <w:rPr>
          <w:rFonts w:hint="eastAsia" w:ascii="仿宋" w:hAnsi="仿宋" w:eastAsia="仿宋" w:cs="仿宋"/>
          <w:kern w:val="0"/>
          <w:sz w:val="28"/>
          <w:szCs w:val="28"/>
        </w:rPr>
      </w:pPr>
      <w:r>
        <w:rPr>
          <w:rFonts w:hint="eastAsia" w:ascii="仿宋" w:hAnsi="仿宋" w:eastAsia="仿宋" w:cs="仿宋"/>
          <w:b/>
          <w:bCs/>
          <w:kern w:val="0"/>
          <w:sz w:val="28"/>
          <w:szCs w:val="28"/>
        </w:rPr>
        <w:t>（</w:t>
      </w:r>
      <w:r>
        <w:rPr>
          <w:rFonts w:hint="eastAsia" w:ascii="仿宋" w:hAnsi="仿宋" w:eastAsia="仿宋" w:cs="仿宋"/>
          <w:b/>
          <w:bCs/>
          <w:kern w:val="0"/>
          <w:sz w:val="28"/>
          <w:szCs w:val="28"/>
          <w:lang w:val="en-US" w:eastAsia="zh-CN"/>
        </w:rPr>
        <w:t>四</w:t>
      </w:r>
      <w:r>
        <w:rPr>
          <w:rFonts w:hint="eastAsia" w:ascii="仿宋" w:hAnsi="仿宋" w:eastAsia="仿宋" w:cs="仿宋"/>
          <w:b/>
          <w:bCs/>
          <w:kern w:val="0"/>
          <w:sz w:val="28"/>
          <w:szCs w:val="28"/>
        </w:rPr>
        <w:t>）资本性支出</w:t>
      </w:r>
      <w:r>
        <w:rPr>
          <w:rFonts w:hint="eastAsia" w:ascii="仿宋" w:hAnsi="仿宋" w:eastAsia="仿宋" w:cs="仿宋"/>
          <w:kern w:val="0"/>
          <w:sz w:val="28"/>
          <w:szCs w:val="28"/>
          <w:u w:val="none"/>
          <w:lang w:eastAsia="en-US"/>
        </w:rPr>
        <w:t xml:space="preserve"> 0</w:t>
      </w:r>
      <w:r>
        <w:rPr>
          <w:rFonts w:hint="eastAsia" w:ascii="仿宋" w:hAnsi="仿宋" w:eastAsia="仿宋" w:cs="仿宋"/>
          <w:b/>
          <w:bCs/>
          <w:kern w:val="0"/>
          <w:sz w:val="28"/>
          <w:szCs w:val="28"/>
        </w:rPr>
        <w:t>万元。</w:t>
      </w:r>
    </w:p>
    <w:p w14:paraId="5CCD222C">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14:paraId="735358BC">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14:paraId="09DFF9F5">
      <w:pPr>
        <w:pStyle w:val="28"/>
        <w:widowControl/>
        <w:spacing w:before="240" w:after="240" w:line="560" w:lineRule="atLeast"/>
        <w:ind w:firstLine="640"/>
        <w:jc w:val="left"/>
        <w:rPr>
          <w:rFonts w:hint="eastAsia" w:ascii="仿宋" w:hAnsi="仿宋" w:eastAsia="仿宋" w:cs="仿宋"/>
          <w:kern w:val="0"/>
          <w:sz w:val="28"/>
          <w:szCs w:val="28"/>
          <w:u w:val="none"/>
          <w:lang w:eastAsia="zh-CN"/>
        </w:rPr>
      </w:pPr>
      <w:r>
        <w:rPr>
          <w:rFonts w:hint="eastAsia" w:ascii="仿宋" w:hAnsi="仿宋" w:eastAsia="仿宋" w:cs="仿宋"/>
          <w:kern w:val="0"/>
          <w:sz w:val="28"/>
          <w:szCs w:val="28"/>
        </w:rPr>
        <w:t>呼伦贝尔市第二人民医院（呼伦贝尔市传染病医院）</w:t>
      </w:r>
      <w:r>
        <w:rPr>
          <w:rFonts w:hint="eastAsia" w:ascii="仿宋" w:hAnsi="仿宋" w:eastAsia="仿宋" w:cs="仿宋"/>
          <w:kern w:val="0"/>
          <w:sz w:val="28"/>
          <w:szCs w:val="28"/>
          <w:lang w:eastAsia="en-US"/>
        </w:rPr>
        <w:t>2025</w:t>
      </w:r>
      <w:r>
        <w:rPr>
          <w:rFonts w:hint="eastAsia" w:ascii="仿宋" w:hAnsi="仿宋" w:eastAsia="仿宋" w:cs="仿宋"/>
          <w:kern w:val="0"/>
          <w:sz w:val="28"/>
          <w:szCs w:val="28"/>
        </w:rPr>
        <w:t>年度财政拨款“三公”经费全年预算</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rPr>
        <w:t>万元，支出决</w:t>
      </w:r>
      <w:r>
        <w:rPr>
          <w:rFonts w:hint="eastAsia" w:ascii="仿宋" w:hAnsi="仿宋" w:eastAsia="仿宋" w:cs="仿宋"/>
          <w:kern w:val="0"/>
          <w:sz w:val="28"/>
          <w:szCs w:val="28"/>
          <w:u w:val="none"/>
        </w:rPr>
        <w:t>算</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万元，完成预算的</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。其中：因公出国（境）费全年预算</w:t>
      </w:r>
      <w:r>
        <w:rPr>
          <w:rFonts w:hint="eastAsia" w:ascii="仿宋" w:hAnsi="仿宋" w:eastAsia="仿宋" w:cs="仿宋"/>
          <w:kern w:val="0"/>
          <w:sz w:val="28"/>
          <w:szCs w:val="28"/>
          <w:u w:val="none"/>
          <w:lang w:val="en-US" w:eastAsia="zh-CN"/>
        </w:rPr>
        <w:t>0</w:t>
      </w:r>
      <w:r>
        <w:rPr>
          <w:rFonts w:hint="eastAsia" w:ascii="仿宋" w:hAnsi="仿宋" w:eastAsia="仿宋" w:cs="仿宋"/>
          <w:kern w:val="0"/>
          <w:sz w:val="28"/>
          <w:szCs w:val="28"/>
          <w:u w:val="none"/>
        </w:rPr>
        <w:t>万元，支出决算</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万元，完成预算的</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；公务用车购置及运行维护费全年预算</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万元，支出决算</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万元，完成预算的</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；公务接待费全年预算</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万元，支出决算</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万元，完成预算的</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w:t>
      </w:r>
      <w:r>
        <w:rPr>
          <w:rFonts w:hint="eastAsia" w:ascii="仿宋" w:hAnsi="仿宋" w:eastAsia="仿宋" w:cs="仿宋"/>
          <w:kern w:val="0"/>
          <w:sz w:val="28"/>
          <w:szCs w:val="28"/>
          <w:u w:val="none"/>
          <w:lang w:eastAsia="en-US"/>
        </w:rPr>
        <w:t>2025</w:t>
      </w:r>
      <w:r>
        <w:rPr>
          <w:rFonts w:hint="eastAsia" w:ascii="仿宋" w:hAnsi="仿宋" w:eastAsia="仿宋" w:cs="仿宋"/>
          <w:kern w:val="0"/>
          <w:sz w:val="28"/>
          <w:szCs w:val="28"/>
          <w:u w:val="none"/>
        </w:rPr>
        <w:t>年度一般公共预算财政拨款“三公”经费全年预算</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万元，支出决算</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w:t>
      </w:r>
      <w:r>
        <w:rPr>
          <w:rFonts w:hint="eastAsia" w:ascii="仿宋" w:hAnsi="仿宋" w:eastAsia="仿宋" w:cs="仿宋"/>
          <w:kern w:val="0"/>
          <w:sz w:val="28"/>
          <w:szCs w:val="28"/>
          <w:u w:val="none"/>
          <w:lang w:eastAsia="zh-CN"/>
        </w:rPr>
        <w:t>。</w:t>
      </w:r>
      <w:r>
        <w:rPr>
          <w:rFonts w:hint="eastAsia" w:ascii="仿宋" w:hAnsi="仿宋" w:eastAsia="仿宋" w:cs="仿宋"/>
          <w:kern w:val="0"/>
          <w:sz w:val="28"/>
          <w:szCs w:val="28"/>
          <w:u w:val="none"/>
        </w:rPr>
        <w:t>我单位为差额拨款预算单位本年无财政拨款“三公”经费。</w:t>
      </w:r>
    </w:p>
    <w:p w14:paraId="1EB79FC1">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14:paraId="6C980C7E">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u w:val="none"/>
        </w:rPr>
        <w:t>呼伦贝尔市第二人民医院（呼伦贝尔市传染病医院）</w:t>
      </w:r>
      <w:r>
        <w:rPr>
          <w:rFonts w:hint="eastAsia" w:ascii="仿宋" w:hAnsi="仿宋" w:eastAsia="仿宋" w:cs="仿宋"/>
          <w:kern w:val="0"/>
          <w:sz w:val="28"/>
          <w:szCs w:val="28"/>
          <w:u w:val="none"/>
          <w:lang w:eastAsia="en-US"/>
        </w:rPr>
        <w:t>2025</w:t>
      </w:r>
      <w:r>
        <w:rPr>
          <w:rFonts w:hint="eastAsia" w:ascii="仿宋" w:hAnsi="仿宋" w:eastAsia="仿宋" w:cs="仿宋"/>
          <w:kern w:val="0"/>
          <w:sz w:val="28"/>
          <w:szCs w:val="28"/>
          <w:u w:val="none"/>
        </w:rPr>
        <w:t>年度财政拨款“三公”经费支出</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万元。因公出国（境）费支出</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；公务用车购置及运行维护费支出</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；公务接待费支出</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w:t>
      </w:r>
      <w:r>
        <w:rPr>
          <w:rFonts w:hint="eastAsia" w:ascii="仿宋" w:hAnsi="仿宋" w:eastAsia="仿宋" w:cs="仿宋"/>
          <w:kern w:val="0"/>
          <w:sz w:val="28"/>
          <w:szCs w:val="28"/>
        </w:rPr>
        <w:t>其中：</w:t>
      </w:r>
    </w:p>
    <w:p w14:paraId="31C0ED77">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b/>
          <w:bCs/>
          <w:kern w:val="0"/>
          <w:sz w:val="28"/>
          <w:szCs w:val="28"/>
          <w:lang w:eastAsia="en-US"/>
        </w:rPr>
        <w:t>1.</w:t>
      </w:r>
      <w:r>
        <w:rPr>
          <w:rFonts w:hint="eastAsia" w:ascii="仿宋" w:hAnsi="仿宋" w:eastAsia="仿宋" w:cs="仿宋"/>
          <w:b/>
          <w:bCs/>
          <w:kern w:val="0"/>
          <w:sz w:val="28"/>
          <w:szCs w:val="28"/>
        </w:rPr>
        <w:t>因公出国（境）费支出</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万元，全年出国（境）团组</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个，累计</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人次。与上年决算相比，增加</w:t>
      </w:r>
      <w:r>
        <w:rPr>
          <w:rFonts w:hint="eastAsia" w:ascii="仿宋" w:hAnsi="仿宋" w:eastAsia="仿宋" w:cs="仿宋"/>
          <w:kern w:val="0"/>
          <w:sz w:val="28"/>
          <w:szCs w:val="28"/>
          <w:u w:val="none"/>
          <w:lang w:val="en-US" w:eastAsia="zh-CN"/>
        </w:rPr>
        <w:t>0</w:t>
      </w:r>
      <w:r>
        <w:rPr>
          <w:rFonts w:hint="eastAsia" w:ascii="仿宋" w:hAnsi="仿宋" w:eastAsia="仿宋" w:cs="仿宋"/>
          <w:kern w:val="0"/>
          <w:sz w:val="28"/>
          <w:szCs w:val="28"/>
          <w:u w:val="none"/>
        </w:rPr>
        <w:t>万元，增长</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，变动原因：</w:t>
      </w:r>
      <w:r>
        <w:rPr>
          <w:rFonts w:hint="eastAsia" w:ascii="仿宋" w:hAnsi="仿宋" w:eastAsia="仿宋" w:cs="仿宋"/>
          <w:kern w:val="0"/>
          <w:sz w:val="28"/>
          <w:szCs w:val="28"/>
          <w:u w:val="none"/>
          <w:lang w:val="en-US" w:eastAsia="zh-CN"/>
        </w:rPr>
        <w:t>本年无变动</w:t>
      </w:r>
      <w:r>
        <w:rPr>
          <w:rFonts w:hint="eastAsia" w:ascii="仿宋" w:hAnsi="仿宋" w:eastAsia="仿宋" w:cs="仿宋"/>
          <w:kern w:val="0"/>
          <w:sz w:val="28"/>
          <w:szCs w:val="28"/>
          <w:u w:val="none"/>
        </w:rPr>
        <w:t>。</w:t>
      </w:r>
    </w:p>
    <w:p w14:paraId="3D149818">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b/>
          <w:bCs/>
          <w:kern w:val="0"/>
          <w:sz w:val="28"/>
          <w:szCs w:val="28"/>
          <w:lang w:eastAsia="en-US"/>
        </w:rPr>
        <w:t>2.</w:t>
      </w:r>
      <w:r>
        <w:rPr>
          <w:rFonts w:hint="eastAsia" w:ascii="仿宋" w:hAnsi="仿宋" w:eastAsia="仿宋" w:cs="仿宋"/>
          <w:b/>
          <w:bCs/>
          <w:kern w:val="0"/>
          <w:sz w:val="28"/>
          <w:szCs w:val="28"/>
        </w:rPr>
        <w:t>公务用车购置及运行维护费支出</w:t>
      </w:r>
      <w:r>
        <w:rPr>
          <w:rFonts w:hint="eastAsia" w:ascii="仿宋" w:hAnsi="仿宋" w:eastAsia="仿宋" w:cs="仿宋"/>
          <w:kern w:val="0"/>
          <w:sz w:val="28"/>
          <w:szCs w:val="28"/>
          <w:u w:val="none"/>
          <w:lang w:eastAsia="en-US"/>
        </w:rPr>
        <w:t xml:space="preserve"> 0</w:t>
      </w:r>
      <w:r>
        <w:rPr>
          <w:rFonts w:hint="eastAsia" w:ascii="仿宋" w:hAnsi="仿宋" w:eastAsia="仿宋" w:cs="仿宋"/>
          <w:kern w:val="0"/>
          <w:sz w:val="28"/>
          <w:szCs w:val="28"/>
        </w:rPr>
        <w:t>万元。其中：</w:t>
      </w:r>
    </w:p>
    <w:p w14:paraId="664D86CD">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b/>
          <w:bCs/>
          <w:kern w:val="0"/>
          <w:sz w:val="28"/>
          <w:szCs w:val="28"/>
        </w:rPr>
        <w:t>（</w:t>
      </w:r>
      <w:r>
        <w:rPr>
          <w:rFonts w:hint="eastAsia" w:ascii="仿宋" w:hAnsi="仿宋" w:eastAsia="仿宋" w:cs="仿宋"/>
          <w:b/>
          <w:bCs/>
          <w:kern w:val="0"/>
          <w:sz w:val="28"/>
          <w:szCs w:val="28"/>
          <w:lang w:eastAsia="en-US"/>
        </w:rPr>
        <w:t>1</w:t>
      </w:r>
      <w:r>
        <w:rPr>
          <w:rFonts w:hint="eastAsia" w:ascii="仿宋" w:hAnsi="仿宋" w:eastAsia="仿宋" w:cs="仿宋"/>
          <w:b/>
          <w:bCs/>
          <w:kern w:val="0"/>
          <w:sz w:val="28"/>
          <w:szCs w:val="28"/>
        </w:rPr>
        <w:t>）公务用车购置支出</w:t>
      </w:r>
      <w:r>
        <w:rPr>
          <w:rFonts w:hint="eastAsia" w:ascii="仿宋" w:hAnsi="仿宋" w:eastAsia="仿宋" w:cs="仿宋"/>
          <w:b w:val="0"/>
          <w:bCs w:val="0"/>
          <w:kern w:val="0"/>
          <w:sz w:val="28"/>
          <w:szCs w:val="28"/>
          <w:lang w:val="en-US" w:eastAsia="zh-CN"/>
        </w:rPr>
        <w:t>0</w:t>
      </w:r>
      <w:r>
        <w:rPr>
          <w:rFonts w:hint="eastAsia" w:ascii="仿宋" w:hAnsi="仿宋" w:eastAsia="仿宋" w:cs="仿宋"/>
          <w:kern w:val="0"/>
          <w:sz w:val="28"/>
          <w:szCs w:val="28"/>
          <w:u w:val="none"/>
        </w:rPr>
        <w:t>万元。本年度使用财政拨款购置公务用车</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辆，开支内容：</w:t>
      </w:r>
      <w:r>
        <w:rPr>
          <w:rFonts w:hint="eastAsia" w:ascii="仿宋" w:hAnsi="仿宋" w:eastAsia="仿宋" w:cs="仿宋"/>
          <w:kern w:val="0"/>
          <w:sz w:val="28"/>
          <w:szCs w:val="28"/>
          <w:u w:val="none"/>
          <w:lang w:val="en-US" w:eastAsia="zh-CN"/>
        </w:rPr>
        <w:t>无</w:t>
      </w:r>
      <w:r>
        <w:rPr>
          <w:rFonts w:hint="eastAsia" w:ascii="仿宋" w:hAnsi="仿宋" w:eastAsia="仿宋" w:cs="仿宋"/>
          <w:kern w:val="0"/>
          <w:sz w:val="28"/>
          <w:szCs w:val="28"/>
          <w:u w:val="none"/>
        </w:rPr>
        <w:t>。与上年决算相比，增加</w:t>
      </w:r>
      <w:r>
        <w:rPr>
          <w:rFonts w:hint="eastAsia" w:ascii="仿宋" w:hAnsi="仿宋" w:eastAsia="仿宋" w:cs="仿宋"/>
          <w:kern w:val="0"/>
          <w:sz w:val="28"/>
          <w:szCs w:val="28"/>
          <w:u w:val="none"/>
          <w:lang w:val="en-US" w:eastAsia="zh-CN"/>
        </w:rPr>
        <w:t>0</w:t>
      </w:r>
      <w:r>
        <w:rPr>
          <w:rFonts w:hint="eastAsia" w:ascii="仿宋" w:hAnsi="仿宋" w:eastAsia="仿宋" w:cs="仿宋"/>
          <w:kern w:val="0"/>
          <w:sz w:val="28"/>
          <w:szCs w:val="28"/>
          <w:u w:val="none"/>
        </w:rPr>
        <w:t>万元，增</w:t>
      </w:r>
      <w:r>
        <w:rPr>
          <w:rFonts w:hint="eastAsia" w:ascii="仿宋" w:hAnsi="仿宋" w:eastAsia="仿宋" w:cs="仿宋"/>
          <w:kern w:val="0"/>
          <w:sz w:val="28"/>
          <w:szCs w:val="28"/>
          <w:u w:val="none"/>
          <w:lang w:val="en-US" w:eastAsia="zh-CN"/>
        </w:rPr>
        <w:t>长</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，变动原因：</w:t>
      </w:r>
      <w:r>
        <w:rPr>
          <w:rFonts w:hint="eastAsia" w:ascii="仿宋" w:hAnsi="仿宋" w:eastAsia="仿宋" w:cs="仿宋"/>
          <w:kern w:val="0"/>
          <w:sz w:val="28"/>
          <w:szCs w:val="28"/>
          <w:u w:val="none"/>
          <w:lang w:val="en-US" w:eastAsia="zh-CN"/>
        </w:rPr>
        <w:t>本年无变动</w:t>
      </w:r>
      <w:r>
        <w:rPr>
          <w:rFonts w:hint="eastAsia" w:ascii="仿宋" w:hAnsi="仿宋" w:eastAsia="仿宋" w:cs="仿宋"/>
          <w:kern w:val="0"/>
          <w:sz w:val="28"/>
          <w:szCs w:val="28"/>
          <w:u w:val="none"/>
        </w:rPr>
        <w:t>。</w:t>
      </w:r>
    </w:p>
    <w:p w14:paraId="48C076A1">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b/>
          <w:bCs/>
          <w:kern w:val="0"/>
          <w:sz w:val="28"/>
          <w:szCs w:val="28"/>
        </w:rPr>
        <w:t>（</w:t>
      </w:r>
      <w:r>
        <w:rPr>
          <w:rFonts w:hint="eastAsia" w:ascii="仿宋" w:hAnsi="仿宋" w:eastAsia="仿宋" w:cs="仿宋"/>
          <w:b/>
          <w:bCs/>
          <w:kern w:val="0"/>
          <w:sz w:val="28"/>
          <w:szCs w:val="28"/>
          <w:lang w:eastAsia="en-US"/>
        </w:rPr>
        <w:t>2</w:t>
      </w:r>
      <w:r>
        <w:rPr>
          <w:rFonts w:hint="eastAsia" w:ascii="仿宋" w:hAnsi="仿宋" w:eastAsia="仿宋" w:cs="仿宋"/>
          <w:b/>
          <w:bCs/>
          <w:kern w:val="0"/>
          <w:sz w:val="28"/>
          <w:szCs w:val="28"/>
        </w:rPr>
        <w:t>）公务用车运行维护费支出</w:t>
      </w:r>
      <w:r>
        <w:rPr>
          <w:rFonts w:hint="eastAsia" w:ascii="仿宋" w:hAnsi="仿宋" w:eastAsia="仿宋" w:cs="仿宋"/>
          <w:kern w:val="0"/>
          <w:sz w:val="28"/>
          <w:szCs w:val="28"/>
          <w:u w:val="none"/>
          <w:lang w:eastAsia="en-US"/>
        </w:rPr>
        <w:t xml:space="preserve"> 0</w:t>
      </w:r>
      <w:r>
        <w:rPr>
          <w:rFonts w:hint="eastAsia" w:ascii="仿宋" w:hAnsi="仿宋" w:eastAsia="仿宋" w:cs="仿宋"/>
          <w:kern w:val="0"/>
          <w:sz w:val="28"/>
          <w:szCs w:val="28"/>
        </w:rPr>
        <w:t>万元。公务用车运行维护费主要用于按规定保留的公务用车的燃料费、</w:t>
      </w:r>
      <w:r>
        <w:rPr>
          <w:rFonts w:hint="eastAsia" w:ascii="仿宋" w:hAnsi="仿宋" w:eastAsia="仿宋" w:cs="仿宋"/>
          <w:color w:val="000000"/>
          <w:kern w:val="0"/>
          <w:sz w:val="28"/>
          <w:szCs w:val="28"/>
        </w:rPr>
        <w:t>新能源汽车充电费、</w:t>
      </w:r>
      <w:r>
        <w:rPr>
          <w:rFonts w:hint="eastAsia" w:ascii="仿宋" w:hAnsi="仿宋" w:eastAsia="仿宋" w:cs="仿宋"/>
          <w:kern w:val="0"/>
          <w:sz w:val="28"/>
          <w:szCs w:val="28"/>
        </w:rPr>
        <w:t>维修费、过桥过路费、保险费、安全奖励费用等支出。截至</w:t>
      </w:r>
      <w:r>
        <w:rPr>
          <w:rFonts w:hint="eastAsia" w:ascii="仿宋" w:hAnsi="仿宋" w:eastAsia="仿宋" w:cs="仿宋"/>
          <w:kern w:val="0"/>
          <w:sz w:val="28"/>
          <w:szCs w:val="28"/>
          <w:lang w:eastAsia="en-US"/>
        </w:rPr>
        <w:t>2025</w:t>
      </w:r>
      <w:r>
        <w:rPr>
          <w:rFonts w:hint="eastAsia" w:ascii="仿宋" w:hAnsi="仿宋" w:eastAsia="仿宋" w:cs="仿宋"/>
          <w:kern w:val="0"/>
          <w:sz w:val="28"/>
          <w:szCs w:val="28"/>
        </w:rPr>
        <w:t>年</w:t>
      </w:r>
      <w:r>
        <w:rPr>
          <w:rFonts w:hint="eastAsia" w:ascii="仿宋" w:hAnsi="仿宋" w:eastAsia="仿宋" w:cs="仿宋"/>
          <w:kern w:val="0"/>
          <w:sz w:val="28"/>
          <w:szCs w:val="28"/>
          <w:lang w:eastAsia="en-US"/>
        </w:rPr>
        <w:t>12</w:t>
      </w:r>
      <w:r>
        <w:rPr>
          <w:rFonts w:hint="eastAsia" w:ascii="仿宋" w:hAnsi="仿宋" w:eastAsia="仿宋" w:cs="仿宋"/>
          <w:kern w:val="0"/>
          <w:sz w:val="28"/>
          <w:szCs w:val="28"/>
        </w:rPr>
        <w:t>月</w:t>
      </w:r>
      <w:r>
        <w:rPr>
          <w:rFonts w:hint="eastAsia" w:ascii="仿宋" w:hAnsi="仿宋" w:eastAsia="仿宋" w:cs="仿宋"/>
          <w:kern w:val="0"/>
          <w:sz w:val="28"/>
          <w:szCs w:val="28"/>
          <w:lang w:eastAsia="en-US"/>
        </w:rPr>
        <w:t>31</w:t>
      </w:r>
      <w:r>
        <w:rPr>
          <w:rFonts w:hint="eastAsia" w:ascii="仿宋" w:hAnsi="仿宋" w:eastAsia="仿宋" w:cs="仿宋"/>
          <w:kern w:val="0"/>
          <w:sz w:val="28"/>
          <w:szCs w:val="28"/>
        </w:rPr>
        <w:t>日，使用财政拨款开支的公务用车保有量为</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rPr>
        <w:t>辆。与上年决算相比，增加</w:t>
      </w:r>
      <w:r>
        <w:rPr>
          <w:rFonts w:hint="eastAsia" w:ascii="仿宋" w:hAnsi="仿宋" w:eastAsia="仿宋" w:cs="仿宋"/>
          <w:kern w:val="0"/>
          <w:sz w:val="28"/>
          <w:szCs w:val="28"/>
          <w:lang w:val="en-US" w:eastAsia="zh-CN"/>
        </w:rPr>
        <w:t>0</w:t>
      </w:r>
      <w:r>
        <w:rPr>
          <w:rFonts w:hint="eastAsia" w:ascii="仿宋" w:hAnsi="仿宋" w:eastAsia="仿宋" w:cs="仿宋"/>
          <w:kern w:val="0"/>
          <w:sz w:val="28"/>
          <w:szCs w:val="28"/>
        </w:rPr>
        <w:t>万元，增</w:t>
      </w:r>
      <w:r>
        <w:rPr>
          <w:rFonts w:hint="eastAsia" w:ascii="仿宋" w:hAnsi="仿宋" w:eastAsia="仿宋" w:cs="仿宋"/>
          <w:kern w:val="0"/>
          <w:sz w:val="28"/>
          <w:szCs w:val="28"/>
          <w:lang w:val="en-US" w:eastAsia="zh-CN"/>
        </w:rPr>
        <w:t>长</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lang w:eastAsia="en-US"/>
        </w:rPr>
        <w:t>%</w:t>
      </w:r>
      <w:r>
        <w:rPr>
          <w:rFonts w:hint="eastAsia" w:ascii="仿宋" w:hAnsi="仿宋" w:eastAsia="仿宋" w:cs="仿宋"/>
          <w:kern w:val="0"/>
          <w:sz w:val="28"/>
          <w:szCs w:val="28"/>
        </w:rPr>
        <w:t>，变动原因：</w:t>
      </w:r>
      <w:r>
        <w:rPr>
          <w:rFonts w:hint="eastAsia" w:ascii="仿宋" w:hAnsi="仿宋" w:eastAsia="仿宋" w:cs="仿宋"/>
          <w:kern w:val="0"/>
          <w:sz w:val="28"/>
          <w:szCs w:val="28"/>
          <w:lang w:val="en-US" w:eastAsia="zh-CN"/>
        </w:rPr>
        <w:t>本年无变动</w:t>
      </w:r>
      <w:r>
        <w:rPr>
          <w:rFonts w:hint="eastAsia" w:ascii="仿宋" w:hAnsi="仿宋" w:eastAsia="仿宋" w:cs="仿宋"/>
          <w:kern w:val="0"/>
          <w:sz w:val="28"/>
          <w:szCs w:val="28"/>
        </w:rPr>
        <w:t>。</w:t>
      </w:r>
    </w:p>
    <w:p w14:paraId="719950EA">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b/>
          <w:bCs/>
          <w:kern w:val="0"/>
          <w:sz w:val="28"/>
          <w:szCs w:val="28"/>
          <w:lang w:eastAsia="en-US"/>
        </w:rPr>
        <w:t>3.</w:t>
      </w:r>
      <w:r>
        <w:rPr>
          <w:rFonts w:hint="eastAsia" w:ascii="仿宋" w:hAnsi="仿宋" w:eastAsia="仿宋" w:cs="仿宋"/>
          <w:b/>
          <w:bCs/>
          <w:kern w:val="0"/>
          <w:sz w:val="28"/>
          <w:szCs w:val="28"/>
        </w:rPr>
        <w:t>公务接待费支出</w:t>
      </w:r>
      <w:r>
        <w:rPr>
          <w:rFonts w:hint="eastAsia" w:ascii="仿宋" w:hAnsi="仿宋" w:eastAsia="仿宋" w:cs="仿宋"/>
          <w:kern w:val="0"/>
          <w:sz w:val="28"/>
          <w:szCs w:val="28"/>
          <w:u w:val="none"/>
          <w:lang w:eastAsia="en-US"/>
        </w:rPr>
        <w:t xml:space="preserve"> 0</w:t>
      </w:r>
      <w:r>
        <w:rPr>
          <w:rFonts w:hint="eastAsia" w:ascii="仿宋" w:hAnsi="仿宋" w:eastAsia="仿宋" w:cs="仿宋"/>
          <w:kern w:val="0"/>
          <w:sz w:val="28"/>
          <w:szCs w:val="28"/>
        </w:rPr>
        <w:t>万元。其中：</w:t>
      </w:r>
      <w:r>
        <w:rPr>
          <w:rFonts w:hint="eastAsia" w:ascii="仿宋" w:hAnsi="仿宋" w:eastAsia="仿宋" w:cs="仿宋"/>
          <w:kern w:val="0"/>
          <w:sz w:val="28"/>
          <w:szCs w:val="28"/>
          <w:u w:val="none"/>
        </w:rPr>
        <w:t>国内公务接待支出</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万元，接待</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批次，</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人次，开支内容：</w:t>
      </w:r>
      <w:r>
        <w:rPr>
          <w:rFonts w:hint="eastAsia" w:ascii="仿宋" w:hAnsi="仿宋" w:eastAsia="仿宋" w:cs="仿宋"/>
          <w:kern w:val="0"/>
          <w:sz w:val="28"/>
          <w:szCs w:val="28"/>
          <w:u w:val="none"/>
          <w:lang w:val="en-US" w:eastAsia="zh-CN"/>
        </w:rPr>
        <w:t>无</w:t>
      </w:r>
      <w:r>
        <w:rPr>
          <w:rFonts w:hint="eastAsia" w:ascii="仿宋" w:hAnsi="仿宋" w:eastAsia="仿宋" w:cs="仿宋"/>
          <w:kern w:val="0"/>
          <w:sz w:val="28"/>
          <w:szCs w:val="28"/>
          <w:u w:val="none"/>
        </w:rPr>
        <w:t>；国（境）外公务接待支出</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万元，接待</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批次，</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人次，开支内容：</w:t>
      </w:r>
      <w:r>
        <w:rPr>
          <w:rFonts w:hint="eastAsia" w:ascii="仿宋" w:hAnsi="仿宋" w:eastAsia="仿宋" w:cs="仿宋"/>
          <w:kern w:val="0"/>
          <w:sz w:val="28"/>
          <w:szCs w:val="28"/>
          <w:u w:val="none"/>
          <w:lang w:val="en-US" w:eastAsia="zh-CN"/>
        </w:rPr>
        <w:t>无</w:t>
      </w:r>
      <w:r>
        <w:rPr>
          <w:rFonts w:hint="eastAsia" w:ascii="仿宋" w:hAnsi="仿宋" w:eastAsia="仿宋" w:cs="仿宋"/>
          <w:kern w:val="0"/>
          <w:sz w:val="28"/>
          <w:szCs w:val="28"/>
          <w:u w:val="none"/>
        </w:rPr>
        <w:t>。与上年决算相比，增加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万元，增长</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，变动原因：</w:t>
      </w:r>
      <w:r>
        <w:rPr>
          <w:rFonts w:hint="eastAsia" w:ascii="仿宋" w:hAnsi="仿宋" w:eastAsia="仿宋" w:cs="仿宋"/>
          <w:kern w:val="0"/>
          <w:sz w:val="28"/>
          <w:szCs w:val="28"/>
          <w:u w:val="none"/>
          <w:lang w:val="en-US" w:eastAsia="zh-CN"/>
        </w:rPr>
        <w:t>本年无变动</w:t>
      </w:r>
      <w:r>
        <w:rPr>
          <w:rFonts w:hint="eastAsia" w:ascii="仿宋" w:hAnsi="仿宋" w:eastAsia="仿宋" w:cs="仿宋"/>
          <w:kern w:val="0"/>
          <w:sz w:val="28"/>
          <w:szCs w:val="28"/>
          <w:u w:val="none"/>
        </w:rPr>
        <w:t>。</w:t>
      </w:r>
    </w:p>
    <w:p w14:paraId="0D84A929">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14:paraId="37D47321">
      <w:pPr>
        <w:widowControl/>
        <w:spacing w:before="240" w:after="240"/>
        <w:ind w:firstLine="560" w:firstLineChars="200"/>
        <w:jc w:val="left"/>
        <w:rPr>
          <w:rFonts w:hint="eastAsia" w:ascii="仿宋" w:hAnsi="仿宋" w:eastAsia="仿宋" w:cs="仿宋"/>
          <w:kern w:val="0"/>
          <w:sz w:val="28"/>
          <w:szCs w:val="28"/>
          <w:u w:val="none"/>
        </w:rPr>
      </w:pPr>
      <w:r>
        <w:rPr>
          <w:rFonts w:hint="eastAsia" w:ascii="仿宋" w:hAnsi="仿宋" w:eastAsia="仿宋" w:cs="仿宋"/>
          <w:kern w:val="0"/>
          <w:sz w:val="28"/>
          <w:szCs w:val="28"/>
        </w:rPr>
        <w:t>呼伦贝尔市第二人民医院（呼伦贝尔市传染病医院）</w:t>
      </w:r>
      <w:r>
        <w:rPr>
          <w:rFonts w:hint="eastAsia" w:ascii="仿宋" w:hAnsi="仿宋" w:eastAsia="仿宋" w:cs="仿宋"/>
          <w:kern w:val="0"/>
          <w:sz w:val="28"/>
          <w:szCs w:val="28"/>
          <w:lang w:eastAsia="en-US"/>
        </w:rPr>
        <w:t>2025</w:t>
      </w:r>
      <w:r>
        <w:rPr>
          <w:rFonts w:hint="eastAsia" w:ascii="仿宋" w:hAnsi="仿宋" w:eastAsia="仿宋" w:cs="仿宋"/>
          <w:kern w:val="0"/>
          <w:sz w:val="28"/>
          <w:szCs w:val="28"/>
        </w:rPr>
        <w:t>年度政府性基金预算财政拨款支出决算</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万元。与上年决算相比，增加</w:t>
      </w:r>
      <w:r>
        <w:rPr>
          <w:rFonts w:hint="eastAsia" w:ascii="仿宋" w:hAnsi="仿宋" w:eastAsia="仿宋" w:cs="仿宋"/>
          <w:kern w:val="0"/>
          <w:sz w:val="28"/>
          <w:szCs w:val="28"/>
          <w:u w:val="none"/>
          <w:lang w:eastAsia="en-US"/>
        </w:rPr>
        <w:t xml:space="preserve"> 0</w:t>
      </w:r>
      <w:r>
        <w:rPr>
          <w:rFonts w:hint="eastAsia" w:ascii="仿宋" w:hAnsi="仿宋" w:eastAsia="仿宋" w:cs="仿宋"/>
          <w:kern w:val="0"/>
          <w:sz w:val="28"/>
          <w:szCs w:val="28"/>
          <w:u w:val="none"/>
        </w:rPr>
        <w:t>万元，增</w:t>
      </w:r>
      <w:r>
        <w:rPr>
          <w:rFonts w:hint="eastAsia" w:ascii="仿宋" w:hAnsi="仿宋" w:eastAsia="仿宋" w:cs="仿宋"/>
          <w:kern w:val="0"/>
          <w:sz w:val="28"/>
          <w:szCs w:val="28"/>
          <w:u w:val="none"/>
          <w:lang w:val="en-US" w:eastAsia="zh-CN"/>
        </w:rPr>
        <w:t>长</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，变动原因：</w:t>
      </w:r>
      <w:r>
        <w:rPr>
          <w:rFonts w:hint="eastAsia" w:ascii="仿宋" w:hAnsi="仿宋" w:eastAsia="仿宋" w:cs="仿宋"/>
          <w:color w:val="000000"/>
          <w:kern w:val="0"/>
          <w:sz w:val="28"/>
          <w:szCs w:val="28"/>
          <w:u w:val="none"/>
          <w:lang w:val="en-US" w:eastAsia="zh-CN"/>
        </w:rPr>
        <w:t>本年无政府性基金预算财政拨款收、支、余</w:t>
      </w:r>
      <w:r>
        <w:rPr>
          <w:rFonts w:hint="eastAsia" w:ascii="仿宋" w:hAnsi="仿宋" w:eastAsia="仿宋" w:cs="仿宋"/>
          <w:color w:val="000000"/>
          <w:kern w:val="0"/>
          <w:sz w:val="28"/>
          <w:szCs w:val="28"/>
          <w:u w:val="none"/>
        </w:rPr>
        <w:t>。</w:t>
      </w:r>
    </w:p>
    <w:p w14:paraId="6AB43981">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14:paraId="6B0420B8">
      <w:pPr>
        <w:pStyle w:val="28"/>
        <w:widowControl/>
        <w:spacing w:before="240" w:after="240" w:line="560" w:lineRule="atLeast"/>
        <w:ind w:firstLine="640"/>
        <w:jc w:val="left"/>
        <w:rPr>
          <w:rFonts w:hint="eastAsia" w:ascii="仿宋" w:hAnsi="仿宋" w:eastAsia="仿宋" w:cs="仿宋"/>
          <w:kern w:val="0"/>
          <w:sz w:val="28"/>
          <w:szCs w:val="28"/>
          <w:u w:val="none"/>
        </w:rPr>
      </w:pPr>
      <w:r>
        <w:rPr>
          <w:rFonts w:hint="eastAsia" w:ascii="仿宋" w:hAnsi="仿宋" w:eastAsia="仿宋" w:cs="仿宋"/>
          <w:kern w:val="0"/>
          <w:sz w:val="28"/>
          <w:szCs w:val="28"/>
        </w:rPr>
        <w:t>呼伦贝尔市第二人民医院（呼伦贝尔市传染病医院）</w:t>
      </w:r>
      <w:r>
        <w:rPr>
          <w:rFonts w:hint="eastAsia" w:ascii="仿宋" w:hAnsi="仿宋" w:eastAsia="仿宋" w:cs="仿宋"/>
          <w:kern w:val="0"/>
          <w:sz w:val="28"/>
          <w:szCs w:val="28"/>
          <w:lang w:eastAsia="en-US"/>
        </w:rPr>
        <w:t>2025</w:t>
      </w:r>
      <w:r>
        <w:rPr>
          <w:rFonts w:hint="eastAsia" w:ascii="仿宋" w:hAnsi="仿宋" w:eastAsia="仿宋" w:cs="仿宋"/>
          <w:kern w:val="0"/>
          <w:sz w:val="28"/>
          <w:szCs w:val="28"/>
        </w:rPr>
        <w:t>年度国有资本经营预算财政拨款支出决算</w:t>
      </w:r>
      <w:r>
        <w:rPr>
          <w:rFonts w:hint="eastAsia" w:ascii="仿宋" w:hAnsi="仿宋" w:eastAsia="仿宋" w:cs="仿宋"/>
          <w:kern w:val="0"/>
          <w:sz w:val="28"/>
          <w:szCs w:val="28"/>
          <w:lang w:val="en-US" w:eastAsia="zh-CN"/>
        </w:rPr>
        <w:t>0</w:t>
      </w:r>
      <w:r>
        <w:rPr>
          <w:rFonts w:hint="eastAsia" w:ascii="仿宋" w:hAnsi="仿宋" w:eastAsia="仿宋" w:cs="仿宋"/>
          <w:kern w:val="0"/>
          <w:sz w:val="28"/>
          <w:szCs w:val="28"/>
          <w:u w:val="none"/>
        </w:rPr>
        <w:t>万元。与上年决算相比，增加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万元，增长</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，变动原因：</w:t>
      </w:r>
      <w:r>
        <w:rPr>
          <w:rFonts w:hint="eastAsia" w:ascii="仿宋" w:hAnsi="仿宋" w:eastAsia="仿宋" w:cs="仿宋"/>
          <w:color w:val="auto"/>
          <w:kern w:val="0"/>
          <w:sz w:val="28"/>
          <w:szCs w:val="28"/>
          <w:u w:val="none"/>
        </w:rPr>
        <w:t>本年无国有资本经营预算财政拨款收、支、余</w:t>
      </w:r>
      <w:r>
        <w:rPr>
          <w:rFonts w:hint="eastAsia" w:ascii="仿宋" w:hAnsi="仿宋" w:eastAsia="仿宋" w:cs="仿宋"/>
          <w:color w:val="000000"/>
          <w:kern w:val="0"/>
          <w:sz w:val="28"/>
          <w:szCs w:val="28"/>
          <w:u w:val="none"/>
        </w:rPr>
        <w:t>。</w:t>
      </w:r>
    </w:p>
    <w:p w14:paraId="70176CCA">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14:paraId="0FDC45FC">
      <w:pPr>
        <w:widowControl/>
        <w:spacing w:before="240" w:after="240"/>
        <w:ind w:firstLine="560" w:firstLineChars="200"/>
        <w:rPr>
          <w:rFonts w:ascii="Times New Roman" w:hAnsi="Times New Roman" w:eastAsia="Times New Roman" w:cs="Times New Roman"/>
          <w:kern w:val="0"/>
          <w:sz w:val="24"/>
          <w:u w:val="none"/>
        </w:rPr>
      </w:pPr>
      <w:r>
        <w:rPr>
          <w:rFonts w:hint="eastAsia" w:ascii="仿宋" w:hAnsi="仿宋" w:eastAsia="仿宋" w:cs="仿宋"/>
          <w:kern w:val="0"/>
          <w:sz w:val="28"/>
          <w:szCs w:val="28"/>
        </w:rPr>
        <w:t>呼伦贝尔市第二人民医院（呼伦贝尔市传染病医院）</w:t>
      </w:r>
      <w:r>
        <w:rPr>
          <w:rFonts w:hint="eastAsia" w:ascii="仿宋" w:hAnsi="仿宋" w:eastAsia="仿宋" w:cs="仿宋"/>
          <w:kern w:val="0"/>
          <w:sz w:val="28"/>
          <w:szCs w:val="28"/>
          <w:u w:val="none"/>
          <w:lang w:eastAsia="en-US"/>
        </w:rPr>
        <w:t>2025</w:t>
      </w:r>
      <w:r>
        <w:rPr>
          <w:rFonts w:hint="eastAsia" w:ascii="仿宋" w:hAnsi="仿宋" w:eastAsia="仿宋" w:cs="仿宋"/>
          <w:kern w:val="0"/>
          <w:sz w:val="28"/>
          <w:szCs w:val="28"/>
          <w:u w:val="none"/>
        </w:rPr>
        <w:t>年度公用经费支出决算</w:t>
      </w:r>
      <w:r>
        <w:rPr>
          <w:rFonts w:hint="eastAsia" w:ascii="仿宋" w:hAnsi="仿宋" w:eastAsia="仿宋" w:cs="仿宋"/>
          <w:kern w:val="0"/>
          <w:sz w:val="28"/>
          <w:szCs w:val="28"/>
          <w:u w:val="none"/>
          <w:lang w:eastAsia="en-US"/>
        </w:rPr>
        <w:t>8890.73</w:t>
      </w:r>
      <w:r>
        <w:rPr>
          <w:rFonts w:hint="eastAsia" w:ascii="仿宋" w:hAnsi="仿宋" w:eastAsia="仿宋" w:cs="仿宋"/>
          <w:kern w:val="0"/>
          <w:sz w:val="28"/>
          <w:szCs w:val="28"/>
          <w:u w:val="none"/>
        </w:rPr>
        <w:t>万元，与上年决算相比，增加</w:t>
      </w:r>
      <w:r>
        <w:rPr>
          <w:rFonts w:hint="eastAsia" w:ascii="仿宋" w:hAnsi="仿宋" w:eastAsia="仿宋" w:cs="仿宋"/>
          <w:kern w:val="0"/>
          <w:sz w:val="28"/>
          <w:szCs w:val="28"/>
          <w:u w:val="none"/>
          <w:lang w:eastAsia="en-US"/>
        </w:rPr>
        <w:t>639.31</w:t>
      </w:r>
      <w:r>
        <w:rPr>
          <w:rFonts w:hint="eastAsia" w:ascii="仿宋" w:hAnsi="仿宋" w:eastAsia="仿宋" w:cs="仿宋"/>
          <w:kern w:val="0"/>
          <w:sz w:val="28"/>
          <w:szCs w:val="28"/>
          <w:u w:val="none"/>
        </w:rPr>
        <w:t>万元，增长</w:t>
      </w:r>
      <w:r>
        <w:rPr>
          <w:rFonts w:hint="eastAsia" w:ascii="仿宋" w:hAnsi="仿宋" w:eastAsia="仿宋" w:cs="仿宋"/>
          <w:kern w:val="0"/>
          <w:sz w:val="28"/>
          <w:szCs w:val="28"/>
          <w:u w:val="none"/>
          <w:lang w:eastAsia="en-US"/>
        </w:rPr>
        <w:t>7.75%</w:t>
      </w:r>
      <w:r>
        <w:rPr>
          <w:rFonts w:hint="eastAsia" w:ascii="仿宋" w:hAnsi="仿宋" w:eastAsia="仿宋" w:cs="仿宋"/>
          <w:kern w:val="0"/>
          <w:sz w:val="28"/>
          <w:szCs w:val="28"/>
          <w:u w:val="none"/>
        </w:rPr>
        <w:t>，变动原因：</w:t>
      </w:r>
      <w:r>
        <w:rPr>
          <w:rFonts w:hint="eastAsia" w:ascii="仿宋" w:hAnsi="仿宋" w:eastAsia="仿宋" w:cs="仿宋"/>
          <w:kern w:val="0"/>
          <w:sz w:val="28"/>
          <w:szCs w:val="28"/>
          <w:u w:val="none"/>
          <w:lang w:val="en-US" w:eastAsia="zh-CN"/>
        </w:rPr>
        <w:t>本年传染病住院楼投入使用水电、取暖费等运营费用增加</w:t>
      </w:r>
      <w:r>
        <w:rPr>
          <w:rFonts w:hint="eastAsia" w:ascii="仿宋" w:hAnsi="仿宋" w:eastAsia="仿宋" w:cs="仿宋"/>
          <w:kern w:val="0"/>
          <w:sz w:val="28"/>
          <w:szCs w:val="28"/>
          <w:u w:val="none"/>
        </w:rPr>
        <w:t>。其中，机关运行经费支出决算</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万元。比上年决算相比，增加</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万元，增长</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，变动原因</w:t>
      </w:r>
      <w:r>
        <w:rPr>
          <w:rFonts w:hint="eastAsia" w:ascii="仿宋" w:hAnsi="仿宋" w:eastAsia="仿宋" w:cs="仿宋"/>
          <w:kern w:val="0"/>
          <w:sz w:val="28"/>
          <w:szCs w:val="28"/>
          <w:u w:val="none"/>
          <w:lang w:eastAsia="zh-CN"/>
        </w:rPr>
        <w:t>：</w:t>
      </w:r>
      <w:r>
        <w:rPr>
          <w:rFonts w:hint="eastAsia" w:ascii="仿宋" w:hAnsi="仿宋" w:eastAsia="仿宋" w:cs="仿宋"/>
          <w:color w:val="000000"/>
          <w:kern w:val="0"/>
          <w:sz w:val="28"/>
          <w:szCs w:val="28"/>
          <w:u w:val="none"/>
          <w:lang w:val="en-US" w:eastAsia="zh-CN"/>
        </w:rPr>
        <w:t>我单位类型为公益二类事业单位，无机关运行经费支出</w:t>
      </w:r>
      <w:r>
        <w:rPr>
          <w:rFonts w:hint="eastAsia" w:ascii="仿宋" w:hAnsi="仿宋" w:eastAsia="仿宋" w:cs="仿宋"/>
          <w:color w:val="000000"/>
          <w:kern w:val="0"/>
          <w:sz w:val="28"/>
          <w:szCs w:val="28"/>
          <w:u w:val="none"/>
        </w:rPr>
        <w:t>。</w:t>
      </w:r>
    </w:p>
    <w:p w14:paraId="7E44C255">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14:paraId="2B03B205">
      <w:pPr>
        <w:pStyle w:val="28"/>
        <w:widowControl/>
        <w:spacing w:before="240" w:after="240" w:line="560" w:lineRule="atLeast"/>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rPr>
        <w:t>呼伦贝尔市第二人民医院（呼伦贝尔市传染病医院）</w:t>
      </w:r>
      <w:r>
        <w:rPr>
          <w:rFonts w:hint="eastAsia" w:ascii="仿宋" w:hAnsi="仿宋" w:eastAsia="仿宋" w:cs="仿宋"/>
          <w:kern w:val="0"/>
          <w:sz w:val="28"/>
          <w:szCs w:val="28"/>
          <w:u w:val="none"/>
          <w:lang w:eastAsia="en-US"/>
        </w:rPr>
        <w:t>2025</w:t>
      </w:r>
      <w:r>
        <w:rPr>
          <w:rFonts w:hint="eastAsia" w:ascii="仿宋" w:hAnsi="仿宋" w:eastAsia="仿宋" w:cs="仿宋"/>
          <w:kern w:val="0"/>
          <w:sz w:val="28"/>
          <w:szCs w:val="28"/>
          <w:u w:val="none"/>
        </w:rPr>
        <w:t>年度政府采购支出总额</w:t>
      </w:r>
      <w:r>
        <w:rPr>
          <w:rFonts w:hint="eastAsia" w:ascii="仿宋" w:hAnsi="仿宋" w:eastAsia="仿宋" w:cs="仿宋"/>
          <w:kern w:val="0"/>
          <w:sz w:val="28"/>
          <w:szCs w:val="28"/>
          <w:u w:val="none"/>
          <w:lang w:eastAsia="en-US"/>
        </w:rPr>
        <w:t>155.92</w:t>
      </w:r>
      <w:r>
        <w:rPr>
          <w:rFonts w:hint="eastAsia" w:ascii="仿宋" w:hAnsi="仿宋" w:eastAsia="仿宋" w:cs="仿宋"/>
          <w:kern w:val="0"/>
          <w:sz w:val="28"/>
          <w:szCs w:val="28"/>
          <w:u w:val="none"/>
        </w:rPr>
        <w:t>万元，其中：政府采购货物支出</w:t>
      </w:r>
      <w:r>
        <w:rPr>
          <w:rFonts w:hint="eastAsia" w:ascii="仿宋" w:hAnsi="仿宋" w:eastAsia="仿宋" w:cs="仿宋"/>
          <w:kern w:val="0"/>
          <w:sz w:val="28"/>
          <w:szCs w:val="28"/>
          <w:u w:val="none"/>
          <w:lang w:eastAsia="en-US"/>
        </w:rPr>
        <w:t>142.12</w:t>
      </w:r>
      <w:r>
        <w:rPr>
          <w:rFonts w:hint="eastAsia" w:ascii="仿宋" w:hAnsi="仿宋" w:eastAsia="仿宋" w:cs="仿宋"/>
          <w:kern w:val="0"/>
          <w:sz w:val="28"/>
          <w:szCs w:val="28"/>
          <w:u w:val="none"/>
        </w:rPr>
        <w:t>万元、政府采购工程支出</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万元、政府采购服务支出</w:t>
      </w:r>
      <w:r>
        <w:rPr>
          <w:rFonts w:hint="eastAsia" w:ascii="仿宋" w:hAnsi="仿宋" w:eastAsia="仿宋" w:cs="仿宋"/>
          <w:kern w:val="0"/>
          <w:sz w:val="28"/>
          <w:szCs w:val="28"/>
          <w:u w:val="none"/>
          <w:lang w:eastAsia="en-US"/>
        </w:rPr>
        <w:t>13.80</w:t>
      </w:r>
      <w:r>
        <w:rPr>
          <w:rFonts w:hint="eastAsia" w:ascii="仿宋" w:hAnsi="仿宋" w:eastAsia="仿宋" w:cs="仿宋"/>
          <w:kern w:val="0"/>
          <w:sz w:val="28"/>
          <w:szCs w:val="28"/>
          <w:u w:val="none"/>
        </w:rPr>
        <w:t>万元。政府采购授予中小企业合同金额</w:t>
      </w:r>
      <w:r>
        <w:rPr>
          <w:rFonts w:hint="eastAsia" w:ascii="仿宋" w:hAnsi="仿宋" w:eastAsia="仿宋" w:cs="仿宋"/>
          <w:kern w:val="0"/>
          <w:sz w:val="28"/>
          <w:szCs w:val="28"/>
          <w:u w:val="none"/>
          <w:lang w:eastAsia="en-US"/>
        </w:rPr>
        <w:t>134.09</w:t>
      </w:r>
      <w:r>
        <w:rPr>
          <w:rFonts w:hint="eastAsia" w:ascii="仿宋" w:hAnsi="仿宋" w:eastAsia="仿宋" w:cs="仿宋"/>
          <w:kern w:val="0"/>
          <w:sz w:val="28"/>
          <w:szCs w:val="28"/>
          <w:u w:val="none"/>
        </w:rPr>
        <w:t>万元，占政府采购支出总额的</w:t>
      </w:r>
      <w:r>
        <w:rPr>
          <w:rFonts w:hint="eastAsia" w:ascii="仿宋" w:hAnsi="仿宋" w:eastAsia="仿宋" w:cs="仿宋"/>
          <w:kern w:val="0"/>
          <w:sz w:val="28"/>
          <w:szCs w:val="28"/>
          <w:u w:val="none"/>
          <w:lang w:val="en-US" w:eastAsia="zh-CN"/>
        </w:rPr>
        <w:t>86</w:t>
      </w:r>
      <w:r>
        <w:rPr>
          <w:rFonts w:hint="eastAsia" w:ascii="仿宋" w:hAnsi="仿宋" w:eastAsia="仿宋" w:cs="仿宋"/>
          <w:kern w:val="0"/>
          <w:sz w:val="28"/>
          <w:szCs w:val="28"/>
          <w:u w:val="none"/>
          <w:lang w:eastAsia="en-US"/>
        </w:rPr>
        <w:t>%</w:t>
      </w:r>
      <w:r>
        <w:rPr>
          <w:rFonts w:hint="eastAsia" w:ascii="仿宋" w:hAnsi="仿宋" w:eastAsia="仿宋" w:cs="仿宋"/>
          <w:kern w:val="0"/>
          <w:sz w:val="28"/>
          <w:szCs w:val="28"/>
          <w:u w:val="none"/>
        </w:rPr>
        <w:t>，其中：授予小微企业合同金额</w:t>
      </w:r>
      <w:r>
        <w:rPr>
          <w:rFonts w:hint="eastAsia" w:ascii="仿宋" w:hAnsi="仿宋" w:eastAsia="仿宋" w:cs="仿宋"/>
          <w:kern w:val="0"/>
          <w:sz w:val="28"/>
          <w:szCs w:val="28"/>
          <w:u w:val="none"/>
          <w:lang w:eastAsia="en-US"/>
        </w:rPr>
        <w:t>134.09</w:t>
      </w:r>
      <w:r>
        <w:rPr>
          <w:rFonts w:hint="eastAsia" w:ascii="仿宋" w:hAnsi="仿宋" w:eastAsia="仿宋" w:cs="仿宋"/>
          <w:kern w:val="0"/>
          <w:sz w:val="28"/>
          <w:szCs w:val="28"/>
          <w:u w:val="none"/>
        </w:rPr>
        <w:t>万元，占政府采购支出总额的</w:t>
      </w:r>
      <w:r>
        <w:rPr>
          <w:rFonts w:hint="eastAsia" w:ascii="仿宋" w:hAnsi="仿宋" w:eastAsia="仿宋" w:cs="仿宋"/>
          <w:kern w:val="0"/>
          <w:sz w:val="28"/>
          <w:szCs w:val="28"/>
          <w:u w:val="none"/>
          <w:lang w:val="en-US" w:eastAsia="zh-CN"/>
        </w:rPr>
        <w:t>86</w:t>
      </w:r>
      <w:r>
        <w:rPr>
          <w:rFonts w:hint="eastAsia" w:ascii="仿宋" w:hAnsi="仿宋" w:eastAsia="仿宋" w:cs="仿宋"/>
          <w:kern w:val="0"/>
          <w:sz w:val="28"/>
          <w:szCs w:val="28"/>
          <w:u w:val="none"/>
          <w:lang w:eastAsia="en-US"/>
        </w:rPr>
        <w:t>%</w:t>
      </w:r>
      <w:r>
        <w:rPr>
          <w:rFonts w:hint="eastAsia" w:ascii="仿宋" w:hAnsi="仿宋" w:eastAsia="仿宋" w:cs="仿宋"/>
          <w:kern w:val="0"/>
          <w:sz w:val="28"/>
          <w:szCs w:val="28"/>
          <w:u w:val="none"/>
        </w:rPr>
        <w:t>；货物采购授予中小企业合同金额占货物支出金额的</w:t>
      </w:r>
      <w:r>
        <w:rPr>
          <w:rFonts w:hint="eastAsia" w:ascii="仿宋" w:hAnsi="仿宋" w:eastAsia="仿宋" w:cs="仿宋"/>
          <w:kern w:val="0"/>
          <w:sz w:val="28"/>
          <w:szCs w:val="28"/>
          <w:u w:val="none"/>
          <w:lang w:val="en-US" w:eastAsia="zh-CN"/>
        </w:rPr>
        <w:t>94.35</w:t>
      </w:r>
      <w:r>
        <w:rPr>
          <w:rFonts w:hint="eastAsia" w:ascii="仿宋" w:hAnsi="仿宋" w:eastAsia="仿宋" w:cs="仿宋"/>
          <w:kern w:val="0"/>
          <w:sz w:val="28"/>
          <w:szCs w:val="28"/>
          <w:u w:val="none"/>
          <w:lang w:eastAsia="en-US"/>
        </w:rPr>
        <w:t>%</w:t>
      </w:r>
      <w:r>
        <w:rPr>
          <w:rFonts w:hint="eastAsia" w:ascii="仿宋" w:hAnsi="仿宋" w:eastAsia="仿宋" w:cs="仿宋"/>
          <w:kern w:val="0"/>
          <w:sz w:val="28"/>
          <w:szCs w:val="28"/>
          <w:u w:val="none"/>
        </w:rPr>
        <w:t>，工程采购授予中小企业合同金额占工程支出金额的</w:t>
      </w:r>
      <w:r>
        <w:rPr>
          <w:rFonts w:hint="eastAsia" w:ascii="仿宋" w:hAnsi="仿宋" w:eastAsia="仿宋" w:cs="仿宋"/>
          <w:kern w:val="0"/>
          <w:sz w:val="28"/>
          <w:szCs w:val="28"/>
          <w:u w:val="none"/>
          <w:lang w:val="en-US" w:eastAsia="zh-CN"/>
        </w:rPr>
        <w:t>0</w:t>
      </w:r>
      <w:r>
        <w:rPr>
          <w:rFonts w:hint="eastAsia" w:ascii="仿宋" w:hAnsi="仿宋" w:eastAsia="仿宋" w:cs="仿宋"/>
          <w:kern w:val="0"/>
          <w:sz w:val="28"/>
          <w:szCs w:val="28"/>
          <w:u w:val="none"/>
          <w:lang w:eastAsia="en-US"/>
        </w:rPr>
        <w:t>%</w:t>
      </w:r>
      <w:r>
        <w:rPr>
          <w:rFonts w:hint="eastAsia" w:ascii="仿宋" w:hAnsi="仿宋" w:eastAsia="仿宋" w:cs="仿宋"/>
          <w:kern w:val="0"/>
          <w:sz w:val="28"/>
          <w:szCs w:val="28"/>
          <w:u w:val="none"/>
        </w:rPr>
        <w:t>，服务采购授予中小企业合同金额占服务支出金额的</w:t>
      </w:r>
      <w:r>
        <w:rPr>
          <w:rFonts w:hint="eastAsia" w:ascii="仿宋" w:hAnsi="仿宋" w:eastAsia="仿宋" w:cs="仿宋"/>
          <w:kern w:val="0"/>
          <w:sz w:val="28"/>
          <w:szCs w:val="28"/>
          <w:u w:val="none"/>
          <w:lang w:val="en-US" w:eastAsia="zh-CN"/>
        </w:rPr>
        <w:t>100</w:t>
      </w:r>
      <w:r>
        <w:rPr>
          <w:rFonts w:hint="eastAsia" w:ascii="仿宋" w:hAnsi="仿宋" w:eastAsia="仿宋" w:cs="仿宋"/>
          <w:kern w:val="0"/>
          <w:sz w:val="28"/>
          <w:szCs w:val="28"/>
          <w:u w:val="none"/>
          <w:lang w:eastAsia="en-US"/>
        </w:rPr>
        <w:t>%</w:t>
      </w:r>
      <w:r>
        <w:rPr>
          <w:rFonts w:hint="eastAsia" w:ascii="仿宋" w:hAnsi="仿宋" w:eastAsia="仿宋" w:cs="仿宋"/>
          <w:kern w:val="0"/>
          <w:sz w:val="28"/>
          <w:szCs w:val="28"/>
          <w:u w:val="none"/>
        </w:rPr>
        <w:t>。</w:t>
      </w:r>
    </w:p>
    <w:p w14:paraId="6216E45D">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14:paraId="66400B5E">
      <w:pPr>
        <w:keepNext w:val="0"/>
        <w:keepLines w:val="0"/>
        <w:widowControl/>
        <w:suppressLineNumbers w:val="0"/>
        <w:spacing w:before="0" w:beforeAutospacing="1" w:after="0" w:afterAutospacing="1" w:line="560" w:lineRule="atLeast"/>
        <w:ind w:right="0" w:firstLine="560" w:firstLineChars="200"/>
        <w:jc w:val="both"/>
        <w:rPr>
          <w:rFonts w:hint="eastAsia" w:ascii="仿宋" w:hAnsi="仿宋" w:eastAsia="仿宋" w:cs="仿宋"/>
          <w:kern w:val="0"/>
          <w:sz w:val="28"/>
          <w:szCs w:val="28"/>
          <w:u w:val="none"/>
        </w:rPr>
      </w:pPr>
      <w:r>
        <w:rPr>
          <w:rFonts w:hint="eastAsia" w:ascii="仿宋" w:hAnsi="仿宋" w:eastAsia="仿宋" w:cs="仿宋"/>
          <w:kern w:val="0"/>
          <w:sz w:val="28"/>
          <w:szCs w:val="28"/>
          <w:u w:val="none"/>
        </w:rPr>
        <w:t>呼伦贝尔市第二人民医院（呼伦贝尔市传染病医院）截至</w:t>
      </w:r>
      <w:r>
        <w:rPr>
          <w:rFonts w:hint="eastAsia" w:ascii="仿宋" w:hAnsi="仿宋" w:eastAsia="仿宋" w:cs="仿宋"/>
          <w:kern w:val="0"/>
          <w:sz w:val="28"/>
          <w:szCs w:val="28"/>
          <w:u w:val="none"/>
          <w:lang w:eastAsia="en-US"/>
        </w:rPr>
        <w:t>2025</w:t>
      </w:r>
      <w:r>
        <w:rPr>
          <w:rFonts w:hint="eastAsia" w:ascii="仿宋" w:hAnsi="仿宋" w:eastAsia="仿宋" w:cs="仿宋"/>
          <w:kern w:val="0"/>
          <w:sz w:val="28"/>
          <w:szCs w:val="28"/>
          <w:u w:val="none"/>
        </w:rPr>
        <w:t>年</w:t>
      </w:r>
      <w:r>
        <w:rPr>
          <w:rFonts w:hint="eastAsia" w:ascii="仿宋" w:hAnsi="仿宋" w:eastAsia="仿宋" w:cs="仿宋"/>
          <w:kern w:val="0"/>
          <w:sz w:val="28"/>
          <w:szCs w:val="28"/>
          <w:u w:val="none"/>
          <w:lang w:eastAsia="en-US"/>
        </w:rPr>
        <w:t>12</w:t>
      </w:r>
      <w:r>
        <w:rPr>
          <w:rFonts w:hint="eastAsia" w:ascii="仿宋" w:hAnsi="仿宋" w:eastAsia="仿宋" w:cs="仿宋"/>
          <w:kern w:val="0"/>
          <w:sz w:val="28"/>
          <w:szCs w:val="28"/>
          <w:u w:val="none"/>
        </w:rPr>
        <w:t>月</w:t>
      </w:r>
      <w:r>
        <w:rPr>
          <w:rFonts w:hint="eastAsia" w:ascii="仿宋" w:hAnsi="仿宋" w:eastAsia="仿宋" w:cs="仿宋"/>
          <w:kern w:val="0"/>
          <w:sz w:val="28"/>
          <w:szCs w:val="28"/>
          <w:u w:val="none"/>
          <w:lang w:eastAsia="en-US"/>
        </w:rPr>
        <w:t>31</w:t>
      </w:r>
      <w:r>
        <w:rPr>
          <w:rFonts w:hint="eastAsia" w:ascii="仿宋" w:hAnsi="仿宋" w:eastAsia="仿宋" w:cs="仿宋"/>
          <w:kern w:val="0"/>
          <w:sz w:val="28"/>
          <w:szCs w:val="28"/>
          <w:u w:val="none"/>
        </w:rPr>
        <w:t>日，本部门（单位）共有车辆</w:t>
      </w:r>
      <w:r>
        <w:rPr>
          <w:rFonts w:hint="eastAsia" w:ascii="仿宋" w:hAnsi="仿宋" w:eastAsia="仿宋" w:cs="仿宋"/>
          <w:kern w:val="0"/>
          <w:sz w:val="28"/>
          <w:szCs w:val="28"/>
          <w:u w:val="none"/>
          <w:lang w:eastAsia="en-US"/>
        </w:rPr>
        <w:t>5</w:t>
      </w:r>
      <w:r>
        <w:rPr>
          <w:rFonts w:hint="eastAsia" w:ascii="仿宋" w:hAnsi="仿宋" w:eastAsia="仿宋" w:cs="仿宋"/>
          <w:kern w:val="0"/>
          <w:sz w:val="28"/>
          <w:szCs w:val="28"/>
          <w:u w:val="none"/>
        </w:rPr>
        <w:t>辆，其中：副部（省）级及以上领导用车</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辆、主要负责人用车</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辆、机要通信用车</w:t>
      </w:r>
      <w:r>
        <w:rPr>
          <w:rFonts w:hint="eastAsia" w:ascii="仿宋" w:hAnsi="仿宋" w:eastAsia="仿宋" w:cs="仿宋"/>
          <w:kern w:val="0"/>
          <w:sz w:val="28"/>
          <w:szCs w:val="28"/>
          <w:u w:val="none"/>
          <w:lang w:eastAsia="en-US"/>
        </w:rPr>
        <w:t>1</w:t>
      </w:r>
      <w:r>
        <w:rPr>
          <w:rFonts w:hint="eastAsia" w:ascii="仿宋" w:hAnsi="仿宋" w:eastAsia="仿宋" w:cs="仿宋"/>
          <w:kern w:val="0"/>
          <w:sz w:val="28"/>
          <w:szCs w:val="28"/>
          <w:u w:val="none"/>
        </w:rPr>
        <w:t>辆、应急保障用车</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辆、执法执勤用车</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辆、特种专业技术用车</w:t>
      </w:r>
      <w:r>
        <w:rPr>
          <w:rFonts w:hint="eastAsia" w:ascii="仿宋" w:hAnsi="仿宋" w:eastAsia="仿宋" w:cs="仿宋"/>
          <w:kern w:val="0"/>
          <w:sz w:val="28"/>
          <w:szCs w:val="28"/>
          <w:u w:val="none"/>
          <w:lang w:eastAsia="en-US"/>
        </w:rPr>
        <w:t>4</w:t>
      </w:r>
      <w:r>
        <w:rPr>
          <w:rFonts w:hint="eastAsia" w:ascii="仿宋" w:hAnsi="仿宋" w:eastAsia="仿宋" w:cs="仿宋"/>
          <w:kern w:val="0"/>
          <w:sz w:val="28"/>
          <w:szCs w:val="28"/>
          <w:u w:val="none"/>
        </w:rPr>
        <w:t>辆、离退休干部服务用车</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辆、其他用车</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辆；单价</w:t>
      </w:r>
      <w:r>
        <w:rPr>
          <w:rFonts w:hint="eastAsia" w:ascii="仿宋" w:hAnsi="仿宋" w:eastAsia="仿宋" w:cs="仿宋"/>
          <w:kern w:val="0"/>
          <w:sz w:val="28"/>
          <w:szCs w:val="28"/>
          <w:u w:val="none"/>
          <w:lang w:eastAsia="en-US"/>
        </w:rPr>
        <w:t>100</w:t>
      </w:r>
      <w:r>
        <w:rPr>
          <w:rFonts w:hint="eastAsia" w:ascii="仿宋" w:hAnsi="仿宋" w:eastAsia="仿宋" w:cs="仿宋"/>
          <w:kern w:val="0"/>
          <w:sz w:val="28"/>
          <w:szCs w:val="28"/>
          <w:u w:val="none"/>
        </w:rPr>
        <w:t>万元（含）以上设备（不含车辆）</w:t>
      </w:r>
      <w:r>
        <w:rPr>
          <w:rFonts w:hint="eastAsia" w:ascii="仿宋" w:hAnsi="仿宋" w:eastAsia="仿宋" w:cs="仿宋"/>
          <w:kern w:val="0"/>
          <w:sz w:val="28"/>
          <w:szCs w:val="28"/>
          <w:u w:val="none"/>
          <w:lang w:eastAsia="en-US"/>
        </w:rPr>
        <w:t xml:space="preserve">29 </w:t>
      </w:r>
      <w:r>
        <w:rPr>
          <w:rFonts w:hint="eastAsia" w:ascii="仿宋" w:hAnsi="仿宋" w:eastAsia="仿宋" w:cs="仿宋"/>
          <w:kern w:val="0"/>
          <w:sz w:val="28"/>
          <w:szCs w:val="28"/>
          <w:u w:val="none"/>
        </w:rPr>
        <w:t>台（套）。</w:t>
      </w:r>
      <w:r>
        <w:rPr>
          <w:rFonts w:hint="eastAsia" w:ascii="仿宋" w:hAnsi="仿宋" w:eastAsia="仿宋" w:cs="仿宋"/>
          <w:color w:val="000000"/>
          <w:kern w:val="0"/>
          <w:sz w:val="28"/>
          <w:szCs w:val="28"/>
          <w:u w:val="none"/>
          <w:lang w:val="en-US" w:eastAsia="zh-CN"/>
        </w:rPr>
        <w:t>设备主要包括:</w:t>
      </w:r>
      <w:r>
        <w:rPr>
          <w:rFonts w:hint="eastAsia" w:ascii="仿宋" w:hAnsi="仿宋" w:eastAsia="仿宋" w:cs="仿宋"/>
          <w:kern w:val="0"/>
          <w:sz w:val="28"/>
          <w:szCs w:val="28"/>
          <w:u w:val="none"/>
        </w:rPr>
        <w:t>核磁共振机、64排CT机、X线胃肠系统、GE彩色超声系统、全自动生化分析仪、混合动力碎石清石系统、电子内窥镜、胸腔镜、腹腔镜</w:t>
      </w:r>
      <w:r>
        <w:rPr>
          <w:rFonts w:hint="eastAsia" w:ascii="仿宋" w:hAnsi="仿宋" w:eastAsia="仿宋" w:cs="仿宋"/>
          <w:kern w:val="0"/>
          <w:sz w:val="28"/>
          <w:szCs w:val="28"/>
          <w:u w:val="none"/>
          <w:lang w:eastAsia="zh-CN"/>
        </w:rPr>
        <w:t>、</w:t>
      </w:r>
      <w:r>
        <w:rPr>
          <w:rFonts w:hint="eastAsia" w:ascii="仿宋" w:hAnsi="仿宋" w:eastAsia="仿宋" w:cs="仿宋"/>
          <w:kern w:val="0"/>
          <w:sz w:val="28"/>
          <w:szCs w:val="28"/>
          <w:u w:val="none"/>
          <w:lang w:val="en-US" w:eastAsia="zh-CN"/>
        </w:rPr>
        <w:t>DR机及附属设备</w:t>
      </w:r>
      <w:r>
        <w:rPr>
          <w:rFonts w:hint="eastAsia" w:ascii="仿宋" w:hAnsi="仿宋" w:eastAsia="仿宋" w:cs="仿宋"/>
          <w:kern w:val="0"/>
          <w:sz w:val="28"/>
          <w:szCs w:val="28"/>
          <w:u w:val="none"/>
        </w:rPr>
        <w:t>等。</w:t>
      </w:r>
    </w:p>
    <w:p w14:paraId="190D35FC">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14:paraId="6C68879D">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14:paraId="6537A4BE">
      <w:pPr>
        <w:pStyle w:val="28"/>
        <w:widowControl/>
        <w:spacing w:before="240" w:after="240" w:line="560" w:lineRule="atLeast"/>
        <w:ind w:firstLine="560" w:firstLineChars="200"/>
        <w:jc w:val="left"/>
        <w:rPr>
          <w:rFonts w:hint="eastAsia" w:ascii="仿宋" w:hAnsi="仿宋" w:eastAsia="仿宋" w:cs="仿宋"/>
          <w:kern w:val="0"/>
          <w:sz w:val="28"/>
          <w:szCs w:val="28"/>
          <w:u w:val="none"/>
          <w:lang w:eastAsia="zh-CN"/>
        </w:rPr>
      </w:pPr>
      <w:r>
        <w:rPr>
          <w:rFonts w:hint="eastAsia" w:ascii="仿宋" w:hAnsi="仿宋" w:eastAsia="仿宋" w:cs="仿宋"/>
          <w:kern w:val="0"/>
          <w:sz w:val="28"/>
          <w:szCs w:val="28"/>
        </w:rPr>
        <w:t>呼伦贝尔市第二人民医院（呼伦贝尔市传染病医院）根据预算绩效管理要求组织对</w:t>
      </w:r>
      <w:r>
        <w:rPr>
          <w:rFonts w:hint="eastAsia" w:ascii="仿宋" w:hAnsi="仿宋" w:eastAsia="仿宋" w:cs="仿宋"/>
          <w:kern w:val="0"/>
          <w:sz w:val="28"/>
          <w:szCs w:val="28"/>
          <w:lang w:eastAsia="en-US"/>
        </w:rPr>
        <w:t>2025</w:t>
      </w:r>
      <w:r>
        <w:rPr>
          <w:rFonts w:hint="eastAsia" w:ascii="仿宋" w:hAnsi="仿宋" w:eastAsia="仿宋" w:cs="仿宋"/>
          <w:kern w:val="0"/>
          <w:sz w:val="28"/>
          <w:szCs w:val="28"/>
        </w:rPr>
        <w:t>年一般公共预算项目支出全面开展绩效自评，共涉及项目</w:t>
      </w:r>
      <w:r>
        <w:rPr>
          <w:rFonts w:hint="eastAsia" w:ascii="仿宋" w:hAnsi="仿宋" w:eastAsia="仿宋" w:cs="仿宋"/>
          <w:kern w:val="0"/>
          <w:sz w:val="28"/>
          <w:szCs w:val="28"/>
          <w:u w:val="none"/>
          <w:lang w:val="en-US" w:eastAsia="zh-CN"/>
        </w:rPr>
        <w:t>4</w:t>
      </w:r>
      <w:r>
        <w:rPr>
          <w:rFonts w:hint="eastAsia" w:ascii="仿宋" w:hAnsi="仿宋" w:eastAsia="仿宋" w:cs="仿宋"/>
          <w:kern w:val="0"/>
          <w:sz w:val="28"/>
          <w:szCs w:val="28"/>
          <w:u w:val="none"/>
        </w:rPr>
        <w:t>个，资金</w:t>
      </w:r>
      <w:r>
        <w:rPr>
          <w:rFonts w:hint="eastAsia" w:ascii="仿宋" w:hAnsi="仿宋" w:eastAsia="仿宋" w:cs="仿宋"/>
          <w:kern w:val="0"/>
          <w:sz w:val="28"/>
          <w:szCs w:val="28"/>
          <w:u w:val="none"/>
          <w:lang w:eastAsia="en-US"/>
        </w:rPr>
        <w:t>42.18</w:t>
      </w:r>
      <w:r>
        <w:rPr>
          <w:rFonts w:hint="eastAsia" w:ascii="仿宋" w:hAnsi="仿宋" w:eastAsia="仿宋" w:cs="仿宋"/>
          <w:kern w:val="0"/>
          <w:sz w:val="28"/>
          <w:szCs w:val="28"/>
        </w:rPr>
        <w:t>万元，占一般公共预算项目支出总额的</w:t>
      </w:r>
      <w:r>
        <w:rPr>
          <w:rFonts w:hint="eastAsia" w:ascii="仿宋" w:hAnsi="仿宋" w:eastAsia="仿宋" w:cs="仿宋"/>
          <w:kern w:val="0"/>
          <w:sz w:val="28"/>
          <w:szCs w:val="28"/>
          <w:lang w:eastAsia="en-US"/>
        </w:rPr>
        <w:t>100%</w:t>
      </w:r>
      <w:r>
        <w:rPr>
          <w:rFonts w:hint="eastAsia" w:ascii="仿宋" w:hAnsi="仿宋" w:eastAsia="仿宋" w:cs="仿宋"/>
          <w:kern w:val="0"/>
          <w:sz w:val="28"/>
          <w:szCs w:val="28"/>
        </w:rPr>
        <w:t>；政府性基金预算项</w:t>
      </w:r>
      <w:r>
        <w:rPr>
          <w:rFonts w:hint="eastAsia" w:ascii="仿宋" w:hAnsi="仿宋" w:eastAsia="仿宋" w:cs="仿宋"/>
          <w:kern w:val="0"/>
          <w:sz w:val="28"/>
          <w:szCs w:val="28"/>
          <w:u w:val="none"/>
        </w:rPr>
        <w:t>目</w:t>
      </w:r>
      <w:r>
        <w:rPr>
          <w:rFonts w:hint="eastAsia" w:ascii="仿宋" w:hAnsi="仿宋" w:eastAsia="仿宋" w:cs="仿宋"/>
          <w:kern w:val="0"/>
          <w:sz w:val="28"/>
          <w:szCs w:val="28"/>
          <w:u w:val="none"/>
          <w:lang w:val="en-US" w:eastAsia="zh-CN"/>
        </w:rPr>
        <w:t>0</w:t>
      </w:r>
      <w:r>
        <w:rPr>
          <w:rFonts w:hint="eastAsia" w:ascii="仿宋" w:hAnsi="仿宋" w:eastAsia="仿宋" w:cs="仿宋"/>
          <w:kern w:val="0"/>
          <w:sz w:val="28"/>
          <w:szCs w:val="28"/>
          <w:u w:val="none"/>
        </w:rPr>
        <w:t>个，共涉及资金</w:t>
      </w:r>
      <w:r>
        <w:rPr>
          <w:rFonts w:hint="eastAsia" w:ascii="仿宋" w:hAnsi="仿宋" w:eastAsia="仿宋" w:cs="仿宋"/>
          <w:kern w:val="0"/>
          <w:sz w:val="28"/>
          <w:szCs w:val="28"/>
          <w:u w:val="none"/>
          <w:lang w:eastAsia="en-US"/>
        </w:rPr>
        <w:t>0</w:t>
      </w:r>
      <w:r>
        <w:rPr>
          <w:rFonts w:hint="eastAsia" w:ascii="仿宋" w:hAnsi="仿宋" w:eastAsia="仿宋" w:cs="仿宋"/>
          <w:kern w:val="0"/>
          <w:sz w:val="28"/>
          <w:szCs w:val="28"/>
          <w:u w:val="none"/>
        </w:rPr>
        <w:t>万元，占政府性基金预算项目支出总额的</w:t>
      </w:r>
      <w:r>
        <w:rPr>
          <w:rFonts w:hint="eastAsia" w:ascii="仿宋" w:hAnsi="仿宋" w:eastAsia="仿宋" w:cs="仿宋"/>
          <w:kern w:val="0"/>
          <w:sz w:val="28"/>
          <w:szCs w:val="28"/>
          <w:u w:val="none"/>
          <w:lang w:val="en-US" w:eastAsia="zh-CN"/>
        </w:rPr>
        <w:t>0</w:t>
      </w:r>
      <w:r>
        <w:rPr>
          <w:rFonts w:hint="eastAsia" w:ascii="仿宋" w:hAnsi="仿宋" w:eastAsia="仿宋" w:cs="仿宋"/>
          <w:kern w:val="0"/>
          <w:sz w:val="28"/>
          <w:szCs w:val="28"/>
          <w:u w:val="none"/>
          <w:lang w:eastAsia="en-US"/>
        </w:rPr>
        <w:t>%</w:t>
      </w:r>
      <w:r>
        <w:rPr>
          <w:rFonts w:hint="eastAsia" w:ascii="仿宋" w:hAnsi="仿宋" w:eastAsia="仿宋" w:cs="仿宋"/>
          <w:kern w:val="0"/>
          <w:sz w:val="28"/>
          <w:szCs w:val="28"/>
          <w:u w:val="none"/>
          <w:lang w:eastAsia="zh-CN"/>
        </w:rPr>
        <w:t>。</w:t>
      </w:r>
    </w:p>
    <w:p w14:paraId="5A40E4F5">
      <w:pPr>
        <w:widowControl/>
        <w:spacing w:before="240" w:after="240"/>
        <w:ind w:firstLine="560" w:firstLineChars="200"/>
        <w:rPr>
          <w:rFonts w:hint="eastAsia" w:ascii="仿宋" w:hAnsi="仿宋" w:eastAsia="仿宋" w:cs="仿宋"/>
          <w:kern w:val="0"/>
          <w:sz w:val="28"/>
          <w:szCs w:val="28"/>
        </w:rPr>
      </w:pPr>
      <w:r>
        <w:rPr>
          <w:rFonts w:hint="eastAsia" w:ascii="仿宋" w:hAnsi="仿宋" w:eastAsia="仿宋" w:cs="仿宋"/>
          <w:color w:val="000000"/>
          <w:kern w:val="0"/>
          <w:sz w:val="28"/>
          <w:szCs w:val="28"/>
        </w:rPr>
        <w:t>组织对外泌体载脂蛋白A1在耐药性结核病形成中的作用及其诊断价值</w:t>
      </w:r>
      <w:r>
        <w:rPr>
          <w:rFonts w:hint="eastAsia" w:ascii="仿宋" w:hAnsi="仿宋" w:eastAsia="仿宋" w:cs="仿宋"/>
          <w:color w:val="000000"/>
          <w:kern w:val="0"/>
          <w:sz w:val="28"/>
          <w:szCs w:val="28"/>
          <w:lang w:val="en-US" w:eastAsia="zh-CN"/>
        </w:rPr>
        <w:t>、重大传染病防控、新冠患者救治补助资金、过渡期医务人员临时性工作补助</w:t>
      </w:r>
      <w:r>
        <w:rPr>
          <w:rFonts w:hint="eastAsia" w:ascii="仿宋" w:hAnsi="仿宋" w:eastAsia="仿宋" w:cs="仿宋"/>
          <w:color w:val="000000"/>
          <w:kern w:val="0"/>
          <w:sz w:val="28"/>
          <w:szCs w:val="28"/>
          <w:u w:val="none" w:color="auto"/>
        </w:rPr>
        <w:t> </w:t>
      </w:r>
      <w:r>
        <w:rPr>
          <w:rFonts w:hint="eastAsia" w:ascii="仿宋" w:hAnsi="仿宋" w:eastAsia="仿宋" w:cs="仿宋"/>
          <w:color w:val="000000"/>
          <w:kern w:val="0"/>
          <w:sz w:val="28"/>
          <w:szCs w:val="28"/>
          <w:u w:val="none" w:color="auto"/>
          <w:lang w:val="en-US" w:eastAsia="zh-CN"/>
        </w:rPr>
        <w:t>4</w:t>
      </w:r>
      <w:r>
        <w:rPr>
          <w:rFonts w:hint="eastAsia" w:ascii="仿宋" w:hAnsi="仿宋" w:eastAsia="仿宋" w:cs="仿宋"/>
          <w:color w:val="000000"/>
          <w:kern w:val="0"/>
          <w:sz w:val="28"/>
          <w:szCs w:val="28"/>
        </w:rPr>
        <w:t>个项目开展了部门评价，涉及一般公共预算支出</w:t>
      </w:r>
      <w:r>
        <w:rPr>
          <w:rFonts w:hint="eastAsia" w:ascii="仿宋" w:hAnsi="仿宋" w:eastAsia="仿宋" w:cs="仿宋"/>
          <w:color w:val="000000"/>
          <w:kern w:val="0"/>
          <w:sz w:val="28"/>
          <w:szCs w:val="28"/>
          <w:lang w:val="en-US" w:eastAsia="zh-CN"/>
        </w:rPr>
        <w:t>42.18</w:t>
      </w:r>
      <w:r>
        <w:rPr>
          <w:rFonts w:hint="eastAsia" w:ascii="仿宋" w:hAnsi="仿宋" w:eastAsia="仿宋" w:cs="仿宋"/>
          <w:color w:val="000000"/>
          <w:kern w:val="0"/>
          <w:sz w:val="28"/>
          <w:szCs w:val="28"/>
        </w:rPr>
        <w:t>万元，政府性基金支出</w:t>
      </w:r>
      <w:r>
        <w:rPr>
          <w:rFonts w:hint="eastAsia" w:ascii="仿宋" w:hAnsi="仿宋" w:eastAsia="仿宋" w:cs="仿宋"/>
          <w:color w:val="000000"/>
          <w:kern w:val="0"/>
          <w:sz w:val="28"/>
          <w:szCs w:val="28"/>
          <w:u w:val="none" w:color="auto"/>
          <w:lang w:val="en-US" w:eastAsia="zh-CN"/>
        </w:rPr>
        <w:t>0</w:t>
      </w:r>
      <w:r>
        <w:rPr>
          <w:rFonts w:hint="eastAsia" w:ascii="仿宋" w:hAnsi="仿宋" w:eastAsia="仿宋" w:cs="仿宋"/>
          <w:color w:val="000000"/>
          <w:kern w:val="0"/>
          <w:sz w:val="28"/>
          <w:szCs w:val="28"/>
        </w:rPr>
        <w:t>万元。其中，外泌体载脂蛋白A1在耐药性结核病形成中的作用及其诊断价值</w:t>
      </w:r>
      <w:r>
        <w:rPr>
          <w:rFonts w:hint="eastAsia" w:ascii="仿宋" w:hAnsi="仿宋" w:eastAsia="仿宋" w:cs="仿宋"/>
          <w:color w:val="000000"/>
          <w:kern w:val="0"/>
          <w:sz w:val="28"/>
          <w:szCs w:val="28"/>
          <w:lang w:val="en-US" w:eastAsia="zh-CN"/>
        </w:rPr>
        <w:t>、重大传染病防控、新冠患者救治补助资金、过渡期医务人员临时性工作补助</w:t>
      </w:r>
      <w:r>
        <w:rPr>
          <w:rFonts w:hint="eastAsia" w:ascii="仿宋" w:hAnsi="仿宋" w:eastAsia="仿宋" w:cs="仿宋"/>
          <w:color w:val="000000"/>
          <w:kern w:val="0"/>
          <w:sz w:val="28"/>
          <w:szCs w:val="28"/>
        </w:rPr>
        <w:t>项目</w:t>
      </w:r>
      <w:r>
        <w:rPr>
          <w:rFonts w:hint="eastAsia" w:ascii="仿宋" w:hAnsi="仿宋" w:eastAsia="仿宋" w:cs="仿宋"/>
          <w:color w:val="000000"/>
          <w:kern w:val="0"/>
          <w:sz w:val="28"/>
          <w:szCs w:val="28"/>
          <w:lang w:val="en-US" w:eastAsia="zh-CN"/>
        </w:rPr>
        <w:t>未</w:t>
      </w:r>
      <w:r>
        <w:rPr>
          <w:rFonts w:hint="eastAsia" w:ascii="仿宋" w:hAnsi="仿宋" w:eastAsia="仿宋" w:cs="仿宋"/>
          <w:color w:val="000000"/>
          <w:kern w:val="0"/>
          <w:sz w:val="28"/>
          <w:szCs w:val="28"/>
        </w:rPr>
        <w:t>委托相关第三方机构开展绩效评价。</w:t>
      </w:r>
    </w:p>
    <w:p w14:paraId="61AB8D0B">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（二）单位决算中项目绩效自评结果。</w:t>
      </w:r>
    </w:p>
    <w:p w14:paraId="678026EE">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rPr>
        <w:t>呼伦贝尔市第二人民医院（呼伦贝尔市传染病医院）</w:t>
      </w:r>
      <w:r>
        <w:rPr>
          <w:rFonts w:hint="eastAsia" w:ascii="仿宋" w:hAnsi="仿宋" w:eastAsia="仿宋" w:cs="仿宋"/>
          <w:kern w:val="0"/>
          <w:sz w:val="28"/>
          <w:szCs w:val="28"/>
          <w:lang w:eastAsia="en-US"/>
        </w:rPr>
        <w:t>2025</w:t>
      </w:r>
      <w:r>
        <w:rPr>
          <w:rFonts w:hint="eastAsia" w:ascii="仿宋" w:hAnsi="仿宋" w:eastAsia="仿宋" w:cs="仿宋"/>
          <w:kern w:val="0"/>
          <w:sz w:val="28"/>
          <w:szCs w:val="28"/>
        </w:rPr>
        <w:t>年度在决算中反</w:t>
      </w:r>
      <w:r>
        <w:rPr>
          <w:rFonts w:hint="eastAsia" w:ascii="仿宋" w:hAnsi="仿宋" w:eastAsia="仿宋" w:cs="仿宋"/>
          <w:kern w:val="0"/>
          <w:sz w:val="28"/>
          <w:szCs w:val="28"/>
          <w:lang w:val="en-US" w:eastAsia="zh-CN"/>
        </w:rPr>
        <w:t>映4</w:t>
      </w:r>
      <w:r>
        <w:rPr>
          <w:rFonts w:hint="eastAsia" w:ascii="仿宋" w:hAnsi="仿宋" w:eastAsia="仿宋" w:cs="仿宋"/>
          <w:kern w:val="0"/>
          <w:sz w:val="28"/>
          <w:szCs w:val="28"/>
        </w:rPr>
        <w:t>个一般公共预算项目，以</w:t>
      </w:r>
      <w:r>
        <w:rPr>
          <w:rFonts w:hint="eastAsia" w:ascii="仿宋" w:hAnsi="仿宋" w:eastAsia="仿宋" w:cs="仿宋"/>
          <w:kern w:val="0"/>
          <w:sz w:val="28"/>
          <w:szCs w:val="28"/>
          <w:lang w:val="en-US" w:eastAsia="zh-CN"/>
        </w:rPr>
        <w:t>及0</w:t>
      </w:r>
      <w:r>
        <w:rPr>
          <w:rFonts w:hint="eastAsia" w:ascii="仿宋" w:hAnsi="仿宋" w:eastAsia="仿宋" w:cs="仿宋"/>
          <w:kern w:val="0"/>
          <w:sz w:val="28"/>
          <w:szCs w:val="28"/>
        </w:rPr>
        <w:t>个政府性基金项目，共</w:t>
      </w:r>
      <w:r>
        <w:rPr>
          <w:rFonts w:hint="eastAsia" w:ascii="仿宋" w:hAnsi="仿宋" w:eastAsia="仿宋" w:cs="仿宋"/>
          <w:kern w:val="0"/>
          <w:sz w:val="28"/>
          <w:szCs w:val="28"/>
          <w:lang w:val="en-US" w:eastAsia="zh-CN"/>
        </w:rPr>
        <w:t>4</w:t>
      </w:r>
      <w:r>
        <w:rPr>
          <w:rFonts w:hint="eastAsia" w:ascii="仿宋" w:hAnsi="仿宋" w:eastAsia="仿宋" w:cs="仿宋"/>
          <w:kern w:val="0"/>
          <w:sz w:val="28"/>
          <w:szCs w:val="28"/>
        </w:rPr>
        <w:t>个项目的绩效自评结果。</w:t>
      </w:r>
    </w:p>
    <w:p w14:paraId="784F208E">
      <w:pPr>
        <w:pStyle w:val="28"/>
        <w:widowControl/>
        <w:spacing w:before="240" w:after="240" w:line="560" w:lineRule="atLeast"/>
        <w:ind w:firstLine="640"/>
        <w:jc w:val="left"/>
        <w:rPr>
          <w:rFonts w:hint="default"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1.</w:t>
      </w:r>
      <w:r>
        <w:rPr>
          <w:rFonts w:hint="eastAsia" w:ascii="仿宋" w:hAnsi="仿宋" w:eastAsia="仿宋" w:cs="仿宋"/>
          <w:color w:val="000000"/>
          <w:kern w:val="0"/>
          <w:sz w:val="28"/>
          <w:szCs w:val="28"/>
        </w:rPr>
        <w:t>外泌体载脂蛋白A1在耐药性结核病形成中的作用及其诊断价值项目自评综述：根据年初设定的绩效目标，项目自评得分</w:t>
      </w:r>
      <w:r>
        <w:rPr>
          <w:rFonts w:hint="eastAsia" w:ascii="仿宋" w:hAnsi="仿宋" w:eastAsia="仿宋" w:cs="仿宋"/>
          <w:color w:val="000000"/>
          <w:kern w:val="0"/>
          <w:sz w:val="28"/>
          <w:szCs w:val="28"/>
          <w:u w:val="none" w:color="auto"/>
          <w:lang w:val="en-US" w:eastAsia="zh-CN"/>
        </w:rPr>
        <w:t>95</w:t>
      </w:r>
      <w:r>
        <w:rPr>
          <w:rFonts w:hint="eastAsia" w:ascii="仿宋" w:hAnsi="仿宋" w:eastAsia="仿宋" w:cs="仿宋"/>
          <w:color w:val="000000"/>
          <w:kern w:val="0"/>
          <w:sz w:val="28"/>
          <w:szCs w:val="28"/>
        </w:rPr>
        <w:t>分</w:t>
      </w:r>
      <w:r>
        <w:rPr>
          <w:rFonts w:hint="eastAsia" w:ascii="仿宋" w:hAnsi="仿宋" w:eastAsia="仿宋" w:cs="仿宋"/>
          <w:color w:val="000000"/>
          <w:kern w:val="0"/>
          <w:sz w:val="28"/>
          <w:szCs w:val="28"/>
          <w:lang w:eastAsia="zh-CN"/>
        </w:rPr>
        <w:t>，</w:t>
      </w:r>
      <w:r>
        <w:rPr>
          <w:rFonts w:hint="eastAsia" w:ascii="仿宋" w:hAnsi="仿宋" w:eastAsia="仿宋" w:cs="仿宋"/>
          <w:color w:val="000000"/>
          <w:kern w:val="0"/>
          <w:sz w:val="28"/>
          <w:szCs w:val="28"/>
          <w:lang w:val="en-US" w:eastAsia="zh-CN"/>
        </w:rPr>
        <w:t>自评结果为优。</w:t>
      </w:r>
      <w:r>
        <w:rPr>
          <w:rFonts w:hint="eastAsia" w:ascii="仿宋" w:hAnsi="仿宋" w:eastAsia="仿宋" w:cs="仿宋"/>
          <w:color w:val="000000"/>
          <w:kern w:val="0"/>
          <w:sz w:val="28"/>
          <w:szCs w:val="28"/>
        </w:rPr>
        <w:t>全年预算数为</w:t>
      </w:r>
      <w:r>
        <w:rPr>
          <w:rFonts w:hint="eastAsia" w:ascii="仿宋" w:hAnsi="仿宋" w:eastAsia="仿宋" w:cs="仿宋"/>
          <w:color w:val="000000"/>
          <w:kern w:val="0"/>
          <w:sz w:val="28"/>
          <w:szCs w:val="28"/>
          <w:lang w:val="en-US" w:eastAsia="zh-CN"/>
        </w:rPr>
        <w:t>2.01</w:t>
      </w:r>
      <w:r>
        <w:rPr>
          <w:rFonts w:hint="eastAsia" w:ascii="仿宋" w:hAnsi="仿宋" w:eastAsia="仿宋" w:cs="仿宋"/>
          <w:color w:val="000000"/>
          <w:kern w:val="0"/>
          <w:sz w:val="28"/>
          <w:szCs w:val="28"/>
        </w:rPr>
        <w:t>万元，执行数为</w:t>
      </w:r>
      <w:r>
        <w:rPr>
          <w:rFonts w:hint="eastAsia" w:ascii="仿宋" w:hAnsi="仿宋" w:eastAsia="仿宋" w:cs="仿宋"/>
          <w:color w:val="000000"/>
          <w:kern w:val="0"/>
          <w:sz w:val="28"/>
          <w:szCs w:val="28"/>
          <w:lang w:val="en-US" w:eastAsia="zh-CN"/>
        </w:rPr>
        <w:t>1.39</w:t>
      </w:r>
      <w:r>
        <w:rPr>
          <w:rFonts w:hint="eastAsia" w:ascii="仿宋" w:hAnsi="仿宋" w:eastAsia="仿宋" w:cs="仿宋"/>
          <w:color w:val="000000"/>
          <w:kern w:val="0"/>
          <w:sz w:val="28"/>
          <w:szCs w:val="28"/>
        </w:rPr>
        <w:t>万元，完成预算的</w:t>
      </w:r>
      <w:r>
        <w:rPr>
          <w:rFonts w:hint="eastAsia" w:ascii="仿宋" w:hAnsi="仿宋" w:eastAsia="仿宋" w:cs="仿宋"/>
          <w:color w:val="000000"/>
          <w:kern w:val="0"/>
          <w:sz w:val="28"/>
          <w:szCs w:val="28"/>
          <w:u w:val="none" w:color="auto"/>
          <w:lang w:val="en-US" w:eastAsia="zh-CN"/>
        </w:rPr>
        <w:t>69.15</w:t>
      </w:r>
      <w:r>
        <w:rPr>
          <w:rFonts w:hint="eastAsia" w:ascii="仿宋" w:hAnsi="仿宋" w:eastAsia="仿宋" w:cs="仿宋"/>
          <w:color w:val="000000"/>
          <w:kern w:val="0"/>
          <w:sz w:val="28"/>
          <w:szCs w:val="28"/>
        </w:rPr>
        <w:t>%。项目绩效目标完成情况：</w:t>
      </w:r>
      <w:r>
        <w:rPr>
          <w:rFonts w:hint="eastAsia" w:ascii="仿宋" w:hAnsi="仿宋" w:eastAsia="仿宋" w:cs="仿宋"/>
          <w:color w:val="000000"/>
          <w:kern w:val="0"/>
          <w:sz w:val="28"/>
          <w:szCs w:val="28"/>
          <w:lang w:val="en-US" w:eastAsia="zh-CN"/>
        </w:rPr>
        <w:t>本年科研项目已实施完毕。</w:t>
      </w:r>
      <w:r>
        <w:rPr>
          <w:rFonts w:hint="eastAsia" w:ascii="仿宋" w:hAnsi="仿宋" w:eastAsia="仿宋" w:cs="仿宋"/>
          <w:color w:val="000000"/>
          <w:kern w:val="0"/>
          <w:sz w:val="28"/>
          <w:szCs w:val="28"/>
        </w:rPr>
        <w:t>通过病例对照研究设计，利用临床病例明确APOA1蛋白碎屏与DR-TB感染状态的关联程度，分析其在DR-TB形成中的作用及其诊断价值。同时探讨APOA1蛋白水平对固有免疫细胞抗菌能力的影响及相关分子机制，以</w:t>
      </w:r>
      <w:r>
        <w:rPr>
          <w:rFonts w:hint="eastAsia" w:ascii="仿宋" w:hAnsi="仿宋" w:eastAsia="仿宋" w:cs="仿宋"/>
          <w:color w:val="000000"/>
          <w:kern w:val="0"/>
          <w:sz w:val="28"/>
          <w:szCs w:val="28"/>
          <w:lang w:val="en-US" w:eastAsia="zh-CN"/>
        </w:rPr>
        <w:t>此</w:t>
      </w:r>
      <w:r>
        <w:rPr>
          <w:rFonts w:hint="eastAsia" w:ascii="仿宋" w:hAnsi="仿宋" w:eastAsia="仿宋" w:cs="仿宋"/>
          <w:color w:val="000000"/>
          <w:kern w:val="0"/>
          <w:sz w:val="28"/>
          <w:szCs w:val="28"/>
        </w:rPr>
        <w:t>为推动DR-TB的精准防治提供有力支撑</w:t>
      </w:r>
      <w:r>
        <w:rPr>
          <w:rFonts w:hint="eastAsia" w:ascii="仿宋" w:hAnsi="仿宋" w:eastAsia="仿宋" w:cs="仿宋"/>
          <w:color w:val="000000"/>
          <w:kern w:val="0"/>
          <w:sz w:val="28"/>
          <w:szCs w:val="28"/>
          <w:lang w:eastAsia="zh-CN"/>
        </w:rPr>
        <w:t>。</w:t>
      </w:r>
      <w:r>
        <w:rPr>
          <w:rFonts w:hint="eastAsia" w:ascii="仿宋" w:hAnsi="仿宋" w:eastAsia="仿宋" w:cs="仿宋"/>
          <w:color w:val="000000"/>
          <w:kern w:val="0"/>
          <w:sz w:val="28"/>
          <w:szCs w:val="28"/>
          <w:lang w:val="en-US" w:eastAsia="zh-CN"/>
        </w:rPr>
        <w:t>发现的主要问题：本年科研项目已全部结束，</w:t>
      </w:r>
      <w:r>
        <w:rPr>
          <w:rFonts w:hint="eastAsia" w:ascii="仿宋" w:hAnsi="仿宋" w:eastAsia="仿宋" w:cs="仿宋"/>
          <w:kern w:val="0"/>
          <w:sz w:val="28"/>
          <w:szCs w:val="28"/>
          <w:u w:val="none"/>
          <w:lang w:val="en-US" w:eastAsia="zh-CN"/>
        </w:rPr>
        <w:t>科研项目实施过程中部分相关费用未发生，因此全年预算数大于执行数。下一步改进措施：结余资金已返还财政。</w:t>
      </w:r>
    </w:p>
    <w:p w14:paraId="0F9115C5">
      <w:pPr>
        <w:widowControl/>
        <w:numPr>
          <w:ilvl w:val="0"/>
          <w:numId w:val="0"/>
        </w:numPr>
        <w:spacing w:before="240" w:after="240"/>
        <w:ind w:firstLine="560" w:firstLineChars="200"/>
        <w:rPr>
          <w:rFonts w:hint="default"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rPr>
        <w:t>2.</w:t>
      </w:r>
      <w:r>
        <w:rPr>
          <w:rFonts w:hint="eastAsia" w:ascii="仿宋" w:hAnsi="仿宋" w:eastAsia="仿宋" w:cs="仿宋"/>
          <w:color w:val="000000"/>
          <w:kern w:val="0"/>
          <w:sz w:val="28"/>
          <w:szCs w:val="28"/>
          <w:lang w:val="en-US" w:eastAsia="zh-CN"/>
        </w:rPr>
        <w:t>重大传染病防控</w:t>
      </w:r>
      <w:r>
        <w:rPr>
          <w:rFonts w:hint="eastAsia" w:ascii="仿宋" w:hAnsi="仿宋" w:eastAsia="仿宋" w:cs="仿宋"/>
          <w:color w:val="000000"/>
          <w:kern w:val="0"/>
          <w:sz w:val="28"/>
          <w:szCs w:val="28"/>
        </w:rPr>
        <w:t>项目自评综述：</w:t>
      </w:r>
      <w:r>
        <w:rPr>
          <w:rFonts w:hint="eastAsia" w:ascii="仿宋" w:hAnsi="仿宋" w:eastAsia="仿宋" w:cs="仿宋"/>
          <w:color w:val="000000"/>
          <w:kern w:val="0"/>
          <w:sz w:val="28"/>
          <w:szCs w:val="28"/>
          <w:lang w:val="en-US" w:eastAsia="zh-CN"/>
        </w:rPr>
        <w:t>根据</w:t>
      </w:r>
      <w:r>
        <w:rPr>
          <w:rFonts w:hint="eastAsia" w:ascii="仿宋" w:hAnsi="仿宋" w:eastAsia="仿宋" w:cs="仿宋"/>
          <w:color w:val="000000"/>
          <w:kern w:val="0"/>
          <w:sz w:val="28"/>
          <w:szCs w:val="28"/>
        </w:rPr>
        <w:t>根据年初设定的绩效目标，项目自评得分</w:t>
      </w:r>
      <w:r>
        <w:rPr>
          <w:rFonts w:hint="eastAsia" w:ascii="仿宋" w:hAnsi="仿宋" w:eastAsia="仿宋" w:cs="仿宋"/>
          <w:color w:val="000000"/>
          <w:kern w:val="0"/>
          <w:sz w:val="28"/>
          <w:szCs w:val="28"/>
          <w:u w:val="none" w:color="auto"/>
          <w:lang w:val="en-US" w:eastAsia="zh-CN"/>
        </w:rPr>
        <w:t>100</w:t>
      </w:r>
      <w:r>
        <w:rPr>
          <w:rFonts w:hint="eastAsia" w:ascii="仿宋" w:hAnsi="仿宋" w:eastAsia="仿宋" w:cs="仿宋"/>
          <w:color w:val="000000"/>
          <w:kern w:val="0"/>
          <w:sz w:val="28"/>
          <w:szCs w:val="28"/>
        </w:rPr>
        <w:t>分</w:t>
      </w:r>
      <w:r>
        <w:rPr>
          <w:rFonts w:hint="eastAsia" w:ascii="仿宋" w:hAnsi="仿宋" w:eastAsia="仿宋" w:cs="仿宋"/>
          <w:color w:val="000000"/>
          <w:kern w:val="0"/>
          <w:sz w:val="28"/>
          <w:szCs w:val="28"/>
          <w:lang w:eastAsia="zh-CN"/>
        </w:rPr>
        <w:t>，</w:t>
      </w:r>
      <w:r>
        <w:rPr>
          <w:rFonts w:hint="eastAsia" w:ascii="仿宋" w:hAnsi="仿宋" w:eastAsia="仿宋" w:cs="仿宋"/>
          <w:color w:val="000000"/>
          <w:kern w:val="0"/>
          <w:sz w:val="28"/>
          <w:szCs w:val="28"/>
          <w:lang w:val="en-US" w:eastAsia="zh-CN"/>
        </w:rPr>
        <w:t>自评结果为优</w:t>
      </w:r>
      <w:r>
        <w:rPr>
          <w:rFonts w:hint="eastAsia" w:ascii="仿宋" w:hAnsi="仿宋" w:eastAsia="仿宋" w:cs="仿宋"/>
          <w:color w:val="000000"/>
          <w:kern w:val="0"/>
          <w:sz w:val="28"/>
          <w:szCs w:val="28"/>
        </w:rPr>
        <w:t>。全年预算数为</w:t>
      </w:r>
      <w:r>
        <w:rPr>
          <w:rFonts w:hint="eastAsia" w:ascii="仿宋" w:hAnsi="仿宋" w:eastAsia="仿宋" w:cs="仿宋"/>
          <w:color w:val="000000"/>
          <w:kern w:val="0"/>
          <w:sz w:val="28"/>
          <w:szCs w:val="28"/>
          <w:u w:val="none" w:color="auto"/>
          <w:lang w:val="en-US" w:eastAsia="zh-CN"/>
        </w:rPr>
        <w:t>0.49</w:t>
      </w:r>
      <w:r>
        <w:rPr>
          <w:rFonts w:hint="eastAsia" w:ascii="仿宋" w:hAnsi="仿宋" w:eastAsia="仿宋" w:cs="仿宋"/>
          <w:color w:val="000000"/>
          <w:kern w:val="0"/>
          <w:sz w:val="28"/>
          <w:szCs w:val="28"/>
        </w:rPr>
        <w:t>万元，执行数为</w:t>
      </w:r>
      <w:r>
        <w:rPr>
          <w:rFonts w:hint="eastAsia" w:ascii="仿宋" w:hAnsi="仿宋" w:eastAsia="仿宋" w:cs="仿宋"/>
          <w:color w:val="000000"/>
          <w:kern w:val="0"/>
          <w:sz w:val="28"/>
          <w:szCs w:val="28"/>
          <w:u w:val="none" w:color="auto"/>
          <w:lang w:val="en-US" w:eastAsia="zh-CN"/>
        </w:rPr>
        <w:t>0.49</w:t>
      </w:r>
      <w:r>
        <w:rPr>
          <w:rFonts w:hint="eastAsia" w:ascii="仿宋" w:hAnsi="仿宋" w:eastAsia="仿宋" w:cs="仿宋"/>
          <w:color w:val="000000"/>
          <w:kern w:val="0"/>
          <w:sz w:val="28"/>
          <w:szCs w:val="28"/>
        </w:rPr>
        <w:t>万元，完成预算的</w:t>
      </w:r>
      <w:r>
        <w:rPr>
          <w:rFonts w:hint="eastAsia" w:ascii="仿宋" w:hAnsi="仿宋" w:eastAsia="仿宋" w:cs="仿宋"/>
          <w:color w:val="000000"/>
          <w:kern w:val="0"/>
          <w:sz w:val="28"/>
          <w:szCs w:val="28"/>
          <w:u w:val="none" w:color="auto"/>
          <w:lang w:val="en-US" w:eastAsia="zh-CN"/>
        </w:rPr>
        <w:t>100</w:t>
      </w:r>
      <w:r>
        <w:rPr>
          <w:rFonts w:hint="eastAsia" w:ascii="仿宋" w:hAnsi="仿宋" w:eastAsia="仿宋" w:cs="仿宋"/>
          <w:color w:val="000000"/>
          <w:kern w:val="0"/>
          <w:sz w:val="28"/>
          <w:szCs w:val="28"/>
        </w:rPr>
        <w:t>%。项目绩效目标完成情况：</w:t>
      </w:r>
      <w:r>
        <w:rPr>
          <w:rFonts w:hint="eastAsia" w:ascii="仿宋" w:hAnsi="仿宋" w:eastAsia="仿宋" w:cs="仿宋"/>
          <w:color w:val="000000"/>
          <w:kern w:val="0"/>
          <w:sz w:val="28"/>
          <w:szCs w:val="28"/>
          <w:lang w:val="en-US" w:eastAsia="zh-CN"/>
        </w:rPr>
        <w:t>本年项目已实施完毕。我院组织相关专业技术人员分别参加了结核病与耐药结核病临床管理培训班、中国防痨协会全国学术大会。进一步加强结核病等传染病的防治工作，提高结核病等传染病的治疗率和治疗效果。项目实施中未发现主要问题。</w:t>
      </w:r>
    </w:p>
    <w:p w14:paraId="72A34B33">
      <w:pPr>
        <w:widowControl/>
        <w:numPr>
          <w:ilvl w:val="0"/>
          <w:numId w:val="0"/>
        </w:numPr>
        <w:spacing w:before="240" w:after="240"/>
        <w:ind w:firstLine="540"/>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3.新冠患者救治补助资金项目</w:t>
      </w:r>
      <w:r>
        <w:rPr>
          <w:rFonts w:hint="eastAsia" w:ascii="仿宋" w:hAnsi="仿宋" w:eastAsia="仿宋" w:cs="仿宋"/>
          <w:color w:val="000000"/>
          <w:kern w:val="0"/>
          <w:sz w:val="28"/>
          <w:szCs w:val="28"/>
        </w:rPr>
        <w:t>自评综述：</w:t>
      </w:r>
      <w:r>
        <w:rPr>
          <w:rFonts w:hint="eastAsia" w:ascii="仿宋" w:hAnsi="仿宋" w:eastAsia="仿宋" w:cs="仿宋"/>
          <w:color w:val="000000"/>
          <w:kern w:val="0"/>
          <w:sz w:val="28"/>
          <w:szCs w:val="28"/>
          <w:lang w:val="en-US" w:eastAsia="zh-CN"/>
        </w:rPr>
        <w:t>根据</w:t>
      </w:r>
      <w:r>
        <w:rPr>
          <w:rFonts w:hint="eastAsia" w:ascii="仿宋" w:hAnsi="仿宋" w:eastAsia="仿宋" w:cs="仿宋"/>
          <w:color w:val="000000"/>
          <w:kern w:val="0"/>
          <w:sz w:val="28"/>
          <w:szCs w:val="28"/>
        </w:rPr>
        <w:t>根据年初设定的绩效目标，项目自评得分</w:t>
      </w:r>
      <w:r>
        <w:rPr>
          <w:rFonts w:hint="eastAsia" w:ascii="仿宋" w:hAnsi="仿宋" w:eastAsia="仿宋" w:cs="仿宋"/>
          <w:color w:val="000000"/>
          <w:kern w:val="0"/>
          <w:sz w:val="28"/>
          <w:szCs w:val="28"/>
          <w:u w:val="none"/>
          <w:lang w:val="en-US" w:eastAsia="zh-CN"/>
        </w:rPr>
        <w:t>92.5</w:t>
      </w:r>
      <w:r>
        <w:rPr>
          <w:rFonts w:hint="eastAsia" w:ascii="仿宋" w:hAnsi="仿宋" w:eastAsia="仿宋" w:cs="仿宋"/>
          <w:color w:val="000000"/>
          <w:kern w:val="0"/>
          <w:sz w:val="28"/>
          <w:szCs w:val="28"/>
        </w:rPr>
        <w:t>分</w:t>
      </w:r>
      <w:r>
        <w:rPr>
          <w:rFonts w:hint="eastAsia" w:ascii="仿宋" w:hAnsi="仿宋" w:eastAsia="仿宋" w:cs="仿宋"/>
          <w:color w:val="000000"/>
          <w:kern w:val="0"/>
          <w:sz w:val="28"/>
          <w:szCs w:val="28"/>
          <w:lang w:eastAsia="zh-CN"/>
        </w:rPr>
        <w:t>，</w:t>
      </w:r>
      <w:r>
        <w:rPr>
          <w:rFonts w:hint="eastAsia" w:ascii="仿宋" w:hAnsi="仿宋" w:eastAsia="仿宋" w:cs="仿宋"/>
          <w:color w:val="000000"/>
          <w:kern w:val="0"/>
          <w:sz w:val="28"/>
          <w:szCs w:val="28"/>
          <w:lang w:val="en-US" w:eastAsia="zh-CN"/>
        </w:rPr>
        <w:t>自评结果为优</w:t>
      </w:r>
      <w:r>
        <w:rPr>
          <w:rFonts w:hint="eastAsia" w:ascii="仿宋" w:hAnsi="仿宋" w:eastAsia="仿宋" w:cs="仿宋"/>
          <w:color w:val="000000"/>
          <w:kern w:val="0"/>
          <w:sz w:val="28"/>
          <w:szCs w:val="28"/>
        </w:rPr>
        <w:t>。全年预算数为</w:t>
      </w:r>
      <w:r>
        <w:rPr>
          <w:rFonts w:hint="eastAsia" w:ascii="仿宋" w:hAnsi="仿宋" w:eastAsia="仿宋" w:cs="仿宋"/>
          <w:color w:val="000000"/>
          <w:kern w:val="0"/>
          <w:sz w:val="28"/>
          <w:szCs w:val="28"/>
          <w:lang w:val="en-US" w:eastAsia="zh-CN"/>
        </w:rPr>
        <w:t>35.84</w:t>
      </w:r>
      <w:r>
        <w:rPr>
          <w:rFonts w:hint="eastAsia" w:ascii="仿宋" w:hAnsi="仿宋" w:eastAsia="仿宋" w:cs="仿宋"/>
          <w:color w:val="000000"/>
          <w:kern w:val="0"/>
          <w:sz w:val="28"/>
          <w:szCs w:val="28"/>
        </w:rPr>
        <w:t>万元，执行数为</w:t>
      </w:r>
      <w:r>
        <w:rPr>
          <w:rFonts w:hint="eastAsia" w:ascii="仿宋" w:hAnsi="仿宋" w:eastAsia="仿宋" w:cs="仿宋"/>
          <w:color w:val="000000"/>
          <w:kern w:val="0"/>
          <w:sz w:val="28"/>
          <w:szCs w:val="28"/>
          <w:lang w:val="en-US" w:eastAsia="zh-CN"/>
        </w:rPr>
        <w:t>29.85</w:t>
      </w:r>
      <w:r>
        <w:rPr>
          <w:rFonts w:hint="eastAsia" w:ascii="仿宋" w:hAnsi="仿宋" w:eastAsia="仿宋" w:cs="仿宋"/>
          <w:color w:val="000000"/>
          <w:kern w:val="0"/>
          <w:sz w:val="28"/>
          <w:szCs w:val="28"/>
        </w:rPr>
        <w:t>万元，完成预算的</w:t>
      </w:r>
      <w:r>
        <w:rPr>
          <w:rFonts w:hint="eastAsia" w:ascii="仿宋" w:hAnsi="仿宋" w:eastAsia="仿宋" w:cs="仿宋"/>
          <w:color w:val="000000"/>
          <w:kern w:val="0"/>
          <w:sz w:val="28"/>
          <w:szCs w:val="28"/>
          <w:lang w:val="en-US" w:eastAsia="zh-CN"/>
        </w:rPr>
        <w:t>83.29</w:t>
      </w:r>
      <w:r>
        <w:rPr>
          <w:rFonts w:hint="eastAsia" w:ascii="仿宋" w:hAnsi="仿宋" w:eastAsia="仿宋" w:cs="仿宋"/>
          <w:color w:val="000000"/>
          <w:kern w:val="0"/>
          <w:sz w:val="28"/>
          <w:szCs w:val="28"/>
        </w:rPr>
        <w:t>%。项目绩效目标完成情况：</w:t>
      </w:r>
      <w:r>
        <w:rPr>
          <w:rFonts w:hint="eastAsia" w:ascii="仿宋" w:hAnsi="仿宋" w:eastAsia="仿宋" w:cs="仿宋"/>
          <w:color w:val="000000"/>
          <w:kern w:val="0"/>
          <w:sz w:val="28"/>
          <w:szCs w:val="28"/>
          <w:lang w:val="en-US" w:eastAsia="zh-CN"/>
        </w:rPr>
        <w:t>尚未全部发放。发现的主要问题：由于患者提供银行卡号或开户银行有误导致部分资金尚未发放。下一步改进措施：将通过电话、医院公告通知等方式积极联系患者，患者提供正确银行信息后及时发放到位。</w:t>
      </w:r>
    </w:p>
    <w:p w14:paraId="1DC8D769">
      <w:pPr>
        <w:widowControl/>
        <w:numPr>
          <w:ilvl w:val="0"/>
          <w:numId w:val="0"/>
        </w:numPr>
        <w:spacing w:before="240" w:after="240"/>
        <w:ind w:firstLine="540"/>
        <w:rPr>
          <w:rFonts w:hint="eastAsia" w:ascii="仿宋" w:hAnsi="仿宋" w:eastAsia="仿宋" w:cs="仿宋"/>
          <w:kern w:val="0"/>
          <w:sz w:val="28"/>
          <w:szCs w:val="28"/>
          <w:lang w:eastAsia="zh-CN"/>
        </w:rPr>
      </w:pPr>
      <w:r>
        <w:rPr>
          <w:rFonts w:hint="eastAsia" w:ascii="仿宋" w:hAnsi="仿宋" w:eastAsia="仿宋" w:cs="仿宋"/>
          <w:color w:val="000000"/>
          <w:kern w:val="0"/>
          <w:sz w:val="28"/>
          <w:szCs w:val="28"/>
          <w:lang w:val="en-US" w:eastAsia="zh-CN"/>
        </w:rPr>
        <w:t>4.</w:t>
      </w:r>
      <w:r>
        <w:rPr>
          <w:rFonts w:hint="eastAsia" w:ascii="仿宋" w:hAnsi="仿宋" w:eastAsia="仿宋" w:cs="仿宋"/>
          <w:kern w:val="0"/>
          <w:sz w:val="28"/>
          <w:szCs w:val="28"/>
          <w:lang w:val="en-US" w:eastAsia="zh-CN"/>
        </w:rPr>
        <w:t>过渡期医务人员临时性工作补助</w:t>
      </w:r>
      <w:r>
        <w:rPr>
          <w:rFonts w:hint="eastAsia" w:ascii="仿宋" w:hAnsi="仿宋" w:eastAsia="仿宋" w:cs="仿宋"/>
          <w:kern w:val="0"/>
          <w:sz w:val="28"/>
          <w:szCs w:val="28"/>
        </w:rPr>
        <w:t>项目自评综述：根据年初设定的绩效目标，项目自评得分</w:t>
      </w:r>
      <w:r>
        <w:rPr>
          <w:rFonts w:hint="eastAsia" w:ascii="仿宋" w:hAnsi="仿宋" w:eastAsia="仿宋" w:cs="仿宋"/>
          <w:kern w:val="0"/>
          <w:sz w:val="28"/>
          <w:szCs w:val="28"/>
          <w:lang w:val="en-US" w:eastAsia="zh-CN"/>
        </w:rPr>
        <w:t>85.5</w:t>
      </w:r>
      <w:r>
        <w:rPr>
          <w:rFonts w:hint="eastAsia" w:ascii="仿宋" w:hAnsi="仿宋" w:eastAsia="仿宋" w:cs="仿宋"/>
          <w:kern w:val="0"/>
          <w:sz w:val="28"/>
          <w:szCs w:val="28"/>
        </w:rPr>
        <w:t>分</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自评结果为良</w:t>
      </w:r>
      <w:r>
        <w:rPr>
          <w:rFonts w:hint="eastAsia" w:ascii="仿宋" w:hAnsi="仿宋" w:eastAsia="仿宋" w:cs="仿宋"/>
          <w:kern w:val="0"/>
          <w:sz w:val="28"/>
          <w:szCs w:val="28"/>
        </w:rPr>
        <w:t>。全年预算数为</w:t>
      </w:r>
      <w:r>
        <w:rPr>
          <w:rFonts w:hint="eastAsia" w:ascii="仿宋" w:hAnsi="仿宋" w:eastAsia="仿宋" w:cs="仿宋"/>
          <w:kern w:val="0"/>
          <w:sz w:val="28"/>
          <w:szCs w:val="28"/>
          <w:u w:val="none"/>
          <w:lang w:val="en-US" w:eastAsia="zh-CN"/>
        </w:rPr>
        <w:t>26.13</w:t>
      </w:r>
      <w:r>
        <w:rPr>
          <w:rFonts w:hint="eastAsia" w:ascii="仿宋" w:hAnsi="仿宋" w:eastAsia="仿宋" w:cs="仿宋"/>
          <w:kern w:val="0"/>
          <w:sz w:val="28"/>
          <w:szCs w:val="28"/>
        </w:rPr>
        <w:t>万元，执行数为</w:t>
      </w:r>
      <w:r>
        <w:rPr>
          <w:rFonts w:hint="eastAsia" w:ascii="仿宋" w:hAnsi="仿宋" w:eastAsia="仿宋" w:cs="仿宋"/>
          <w:kern w:val="0"/>
          <w:sz w:val="28"/>
          <w:szCs w:val="28"/>
          <w:u w:val="none"/>
          <w:lang w:val="en-US" w:eastAsia="zh-CN"/>
        </w:rPr>
        <w:t>10.44</w:t>
      </w:r>
      <w:r>
        <w:rPr>
          <w:rFonts w:hint="eastAsia" w:ascii="仿宋" w:hAnsi="仿宋" w:eastAsia="仿宋" w:cs="仿宋"/>
          <w:kern w:val="0"/>
          <w:sz w:val="28"/>
          <w:szCs w:val="28"/>
        </w:rPr>
        <w:t>万元，完成预算的</w:t>
      </w:r>
      <w:r>
        <w:rPr>
          <w:rFonts w:hint="eastAsia" w:ascii="仿宋" w:hAnsi="仿宋" w:eastAsia="仿宋" w:cs="仿宋"/>
          <w:kern w:val="0"/>
          <w:sz w:val="28"/>
          <w:szCs w:val="28"/>
          <w:lang w:val="en-US" w:eastAsia="zh-CN"/>
        </w:rPr>
        <w:t>39.95</w:t>
      </w:r>
      <w:r>
        <w:rPr>
          <w:rFonts w:hint="eastAsia" w:ascii="仿宋" w:hAnsi="仿宋" w:eastAsia="仿宋" w:cs="仿宋"/>
          <w:kern w:val="0"/>
          <w:sz w:val="28"/>
          <w:szCs w:val="28"/>
        </w:rPr>
        <w:t>%。项目绩效目标完成情况：</w:t>
      </w:r>
      <w:r>
        <w:rPr>
          <w:rFonts w:hint="eastAsia" w:ascii="仿宋" w:hAnsi="仿宋" w:eastAsia="仿宋" w:cs="仿宋"/>
          <w:kern w:val="0"/>
          <w:sz w:val="28"/>
          <w:szCs w:val="28"/>
          <w:lang w:val="en-US" w:eastAsia="zh-CN"/>
        </w:rPr>
        <w:t>符合发放条件人员已发放。发现的主要问题：项目</w:t>
      </w:r>
      <w:r>
        <w:rPr>
          <w:rFonts w:hint="eastAsia" w:ascii="仿宋" w:hAnsi="仿宋" w:eastAsia="仿宋" w:cs="仿宋"/>
          <w:kern w:val="0"/>
          <w:sz w:val="28"/>
          <w:szCs w:val="28"/>
          <w:lang w:eastAsia="zh-CN"/>
        </w:rPr>
        <w:t>资金</w:t>
      </w:r>
      <w:r>
        <w:rPr>
          <w:rFonts w:hint="eastAsia" w:ascii="仿宋" w:hAnsi="仿宋" w:eastAsia="仿宋" w:cs="仿宋"/>
          <w:kern w:val="0"/>
          <w:sz w:val="28"/>
          <w:szCs w:val="28"/>
          <w:lang w:val="en-US" w:eastAsia="zh-CN"/>
        </w:rPr>
        <w:t>10.44万元</w:t>
      </w:r>
      <w:r>
        <w:rPr>
          <w:rFonts w:hint="eastAsia" w:ascii="仿宋" w:hAnsi="仿宋" w:eastAsia="仿宋" w:cs="仿宋"/>
          <w:kern w:val="0"/>
          <w:sz w:val="28"/>
          <w:szCs w:val="28"/>
          <w:lang w:eastAsia="zh-CN"/>
        </w:rPr>
        <w:t>已根据文件要求用于</w:t>
      </w:r>
      <w:r>
        <w:rPr>
          <w:rFonts w:hint="eastAsia" w:ascii="仿宋" w:hAnsi="仿宋" w:eastAsia="仿宋" w:cs="仿宋"/>
          <w:kern w:val="0"/>
          <w:sz w:val="28"/>
          <w:szCs w:val="28"/>
          <w:lang w:val="en-US" w:eastAsia="zh-CN"/>
        </w:rPr>
        <w:t>发放</w:t>
      </w:r>
      <w:r>
        <w:rPr>
          <w:rFonts w:hint="eastAsia" w:ascii="仿宋" w:hAnsi="仿宋" w:eastAsia="仿宋" w:cs="仿宋"/>
          <w:kern w:val="0"/>
          <w:sz w:val="28"/>
          <w:szCs w:val="28"/>
          <w:lang w:eastAsia="zh-CN"/>
        </w:rPr>
        <w:t>过渡期内相关医务人员临时性工作补助，</w:t>
      </w:r>
      <w:r>
        <w:rPr>
          <w:rFonts w:hint="eastAsia" w:ascii="仿宋" w:hAnsi="仿宋" w:eastAsia="仿宋" w:cs="仿宋"/>
          <w:kern w:val="0"/>
          <w:sz w:val="28"/>
          <w:szCs w:val="28"/>
          <w:lang w:val="en-US" w:eastAsia="zh-CN"/>
        </w:rPr>
        <w:t>剩余15.69万元未发放。下一步改进措施：</w:t>
      </w:r>
      <w:r>
        <w:rPr>
          <w:rFonts w:hint="eastAsia" w:ascii="仿宋" w:hAnsi="仿宋" w:eastAsia="仿宋" w:cs="仿宋"/>
          <w:kern w:val="0"/>
          <w:sz w:val="28"/>
          <w:szCs w:val="28"/>
        </w:rPr>
        <w:t>我院严格对照补助发放政策标准、人员认定范围及核算依据核查确认无符合</w:t>
      </w:r>
      <w:r>
        <w:rPr>
          <w:rFonts w:hint="eastAsia" w:ascii="仿宋" w:hAnsi="仿宋" w:eastAsia="仿宋" w:cs="仿宋"/>
          <w:kern w:val="0"/>
          <w:sz w:val="28"/>
          <w:szCs w:val="28"/>
          <w:lang w:val="en-US" w:eastAsia="zh-CN"/>
        </w:rPr>
        <w:t>项目资金15.69万元</w:t>
      </w:r>
      <w:r>
        <w:rPr>
          <w:rFonts w:hint="eastAsia" w:ascii="仿宋" w:hAnsi="仿宋" w:eastAsia="仿宋" w:cs="仿宋"/>
          <w:kern w:val="0"/>
          <w:sz w:val="28"/>
          <w:szCs w:val="28"/>
        </w:rPr>
        <w:t>发放条件的人员</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结余资金已返还财政。</w:t>
      </w:r>
    </w:p>
    <w:p w14:paraId="7FEAC5F6">
      <w:pPr>
        <w:widowControl/>
        <w:numPr>
          <w:ilvl w:val="0"/>
          <w:numId w:val="0"/>
        </w:numPr>
        <w:spacing w:before="240" w:after="240"/>
        <w:ind w:firstLine="540"/>
        <w:rPr>
          <w:rFonts w:hint="default" w:ascii="仿宋" w:hAnsi="仿宋" w:eastAsia="仿宋" w:cs="仿宋"/>
          <w:color w:val="000000"/>
          <w:kern w:val="0"/>
          <w:sz w:val="27"/>
          <w:szCs w:val="27"/>
          <w:lang w:val="en-US" w:eastAsia="zh-CN"/>
        </w:rPr>
      </w:pPr>
    </w:p>
    <w:p w14:paraId="5FC596EE">
      <w:pPr>
        <w:widowControl/>
        <w:numPr>
          <w:ilvl w:val="0"/>
          <w:numId w:val="0"/>
        </w:numPr>
        <w:spacing w:before="240" w:after="240"/>
        <w:ind w:firstLine="540"/>
        <w:rPr>
          <w:rFonts w:hint="default" w:ascii="仿宋" w:hAnsi="仿宋" w:eastAsia="仿宋" w:cs="仿宋"/>
          <w:color w:val="000000"/>
          <w:kern w:val="0"/>
          <w:sz w:val="27"/>
          <w:szCs w:val="27"/>
          <w:lang w:val="en-US" w:eastAsia="zh-CN"/>
        </w:rPr>
      </w:pPr>
    </w:p>
    <w:p w14:paraId="25E73ED4">
      <w:pPr>
        <w:widowControl/>
        <w:numPr>
          <w:ilvl w:val="0"/>
          <w:numId w:val="0"/>
        </w:numPr>
        <w:spacing w:before="240" w:after="240"/>
        <w:ind w:firstLine="540"/>
        <w:rPr>
          <w:rFonts w:hint="default" w:ascii="仿宋" w:hAnsi="仿宋" w:eastAsia="仿宋" w:cs="仿宋"/>
          <w:color w:val="000000"/>
          <w:kern w:val="0"/>
          <w:sz w:val="27"/>
          <w:szCs w:val="27"/>
          <w:lang w:val="en-US" w:eastAsia="zh-CN"/>
        </w:rPr>
      </w:pPr>
    </w:p>
    <w:p w14:paraId="1116476A">
      <w:pPr>
        <w:widowControl/>
        <w:numPr>
          <w:ilvl w:val="0"/>
          <w:numId w:val="0"/>
        </w:numPr>
        <w:spacing w:before="240" w:after="240"/>
        <w:ind w:firstLine="540"/>
        <w:rPr>
          <w:rFonts w:hint="default" w:ascii="仿宋" w:hAnsi="仿宋" w:eastAsia="仿宋" w:cs="仿宋"/>
          <w:color w:val="000000"/>
          <w:kern w:val="0"/>
          <w:sz w:val="27"/>
          <w:szCs w:val="27"/>
          <w:lang w:val="en-US" w:eastAsia="zh-CN"/>
        </w:rPr>
      </w:pPr>
    </w:p>
    <w:p w14:paraId="0B840682">
      <w:pPr>
        <w:widowControl/>
        <w:numPr>
          <w:ilvl w:val="0"/>
          <w:numId w:val="0"/>
        </w:numPr>
        <w:spacing w:before="240" w:after="240"/>
        <w:ind w:firstLine="540"/>
        <w:rPr>
          <w:rFonts w:hint="default" w:ascii="仿宋" w:hAnsi="仿宋" w:eastAsia="仿宋" w:cs="仿宋"/>
          <w:color w:val="000000"/>
          <w:kern w:val="0"/>
          <w:sz w:val="27"/>
          <w:szCs w:val="27"/>
          <w:lang w:val="en-US" w:eastAsia="zh-CN"/>
        </w:rPr>
      </w:pPr>
    </w:p>
    <w:p w14:paraId="5521A64A">
      <w:pPr>
        <w:widowControl/>
        <w:numPr>
          <w:ilvl w:val="0"/>
          <w:numId w:val="0"/>
        </w:numPr>
        <w:spacing w:before="240" w:after="240"/>
        <w:ind w:firstLine="540"/>
        <w:rPr>
          <w:rFonts w:hint="default" w:ascii="仿宋" w:hAnsi="仿宋" w:eastAsia="仿宋" w:cs="仿宋"/>
          <w:color w:val="000000"/>
          <w:kern w:val="0"/>
          <w:sz w:val="27"/>
          <w:szCs w:val="27"/>
          <w:lang w:val="en-US" w:eastAsia="zh-CN"/>
        </w:rPr>
      </w:pPr>
    </w:p>
    <w:p w14:paraId="1D058998">
      <w:pPr>
        <w:widowControl/>
        <w:numPr>
          <w:ilvl w:val="0"/>
          <w:numId w:val="0"/>
        </w:numPr>
        <w:spacing w:before="240" w:after="240"/>
        <w:ind w:firstLine="540"/>
        <w:rPr>
          <w:rFonts w:hint="default" w:ascii="仿宋" w:hAnsi="仿宋" w:eastAsia="仿宋" w:cs="仿宋"/>
          <w:color w:val="000000"/>
          <w:kern w:val="0"/>
          <w:sz w:val="27"/>
          <w:szCs w:val="27"/>
          <w:lang w:val="en-US" w:eastAsia="zh-CN"/>
        </w:rPr>
      </w:pPr>
    </w:p>
    <w:p w14:paraId="7B144598">
      <w:pPr>
        <w:widowControl/>
        <w:numPr>
          <w:ilvl w:val="0"/>
          <w:numId w:val="0"/>
        </w:numPr>
        <w:spacing w:before="240" w:after="240"/>
        <w:ind w:firstLine="540"/>
        <w:rPr>
          <w:rFonts w:hint="default" w:ascii="仿宋" w:hAnsi="仿宋" w:eastAsia="仿宋" w:cs="仿宋"/>
          <w:color w:val="000000"/>
          <w:kern w:val="0"/>
          <w:sz w:val="27"/>
          <w:szCs w:val="27"/>
          <w:lang w:val="en-US" w:eastAsia="zh-CN"/>
        </w:rPr>
      </w:pPr>
    </w:p>
    <w:p w14:paraId="45F41DB0">
      <w:pPr>
        <w:widowControl/>
        <w:numPr>
          <w:ilvl w:val="0"/>
          <w:numId w:val="0"/>
        </w:numPr>
        <w:spacing w:before="240" w:after="240"/>
        <w:ind w:firstLine="540"/>
        <w:rPr>
          <w:rFonts w:hint="default" w:ascii="仿宋" w:hAnsi="仿宋" w:eastAsia="仿宋" w:cs="仿宋"/>
          <w:color w:val="000000"/>
          <w:kern w:val="0"/>
          <w:sz w:val="27"/>
          <w:szCs w:val="27"/>
          <w:lang w:val="en-US" w:eastAsia="zh-CN"/>
        </w:rPr>
      </w:pPr>
    </w:p>
    <w:p w14:paraId="4723D6D0">
      <w:pPr>
        <w:widowControl/>
        <w:numPr>
          <w:ilvl w:val="0"/>
          <w:numId w:val="0"/>
        </w:numPr>
        <w:spacing w:before="240" w:after="240"/>
        <w:ind w:firstLine="540"/>
        <w:rPr>
          <w:rFonts w:hint="default" w:ascii="仿宋" w:hAnsi="仿宋" w:eastAsia="仿宋" w:cs="仿宋"/>
          <w:color w:val="000000"/>
          <w:kern w:val="0"/>
          <w:sz w:val="27"/>
          <w:szCs w:val="27"/>
          <w:lang w:val="en-US" w:eastAsia="zh-CN"/>
        </w:rPr>
      </w:pPr>
    </w:p>
    <w:p w14:paraId="4FCFFE3D">
      <w:pPr>
        <w:widowControl/>
        <w:numPr>
          <w:ilvl w:val="0"/>
          <w:numId w:val="0"/>
        </w:numPr>
        <w:spacing w:before="240" w:after="240"/>
        <w:ind w:firstLine="540"/>
        <w:rPr>
          <w:rFonts w:hint="default" w:ascii="仿宋" w:hAnsi="仿宋" w:eastAsia="仿宋" w:cs="仿宋"/>
          <w:color w:val="000000"/>
          <w:kern w:val="0"/>
          <w:sz w:val="27"/>
          <w:szCs w:val="27"/>
          <w:lang w:val="en-US" w:eastAsia="zh-CN"/>
        </w:rPr>
      </w:pPr>
    </w:p>
    <w:p w14:paraId="47B9AD48">
      <w:pPr>
        <w:widowControl/>
        <w:numPr>
          <w:ilvl w:val="0"/>
          <w:numId w:val="0"/>
        </w:numPr>
        <w:spacing w:before="240" w:after="240"/>
        <w:ind w:firstLine="540"/>
        <w:rPr>
          <w:rFonts w:hint="default" w:ascii="仿宋" w:hAnsi="仿宋" w:eastAsia="仿宋" w:cs="仿宋"/>
          <w:color w:val="000000"/>
          <w:kern w:val="0"/>
          <w:sz w:val="27"/>
          <w:szCs w:val="27"/>
          <w:lang w:val="en-US" w:eastAsia="zh-CN"/>
        </w:rPr>
      </w:pPr>
    </w:p>
    <w:p w14:paraId="36069C3D">
      <w:pPr>
        <w:widowControl/>
        <w:numPr>
          <w:ilvl w:val="0"/>
          <w:numId w:val="0"/>
        </w:numPr>
        <w:spacing w:before="240" w:after="240"/>
        <w:ind w:firstLine="540"/>
        <w:rPr>
          <w:rFonts w:hint="default" w:ascii="仿宋" w:hAnsi="仿宋" w:eastAsia="仿宋" w:cs="仿宋"/>
          <w:color w:val="000000"/>
          <w:kern w:val="0"/>
          <w:sz w:val="27"/>
          <w:szCs w:val="27"/>
          <w:lang w:val="en-US" w:eastAsia="zh-CN"/>
        </w:rPr>
      </w:pPr>
    </w:p>
    <w:p w14:paraId="6F845408">
      <w:pPr>
        <w:widowControl/>
        <w:numPr>
          <w:ilvl w:val="0"/>
          <w:numId w:val="0"/>
        </w:numPr>
        <w:spacing w:before="240" w:after="240"/>
        <w:rPr>
          <w:rFonts w:hint="default" w:ascii="仿宋" w:hAnsi="仿宋" w:eastAsia="仿宋" w:cs="仿宋"/>
          <w:color w:val="000000"/>
          <w:kern w:val="0"/>
          <w:sz w:val="27"/>
          <w:szCs w:val="27"/>
          <w:lang w:val="en-US" w:eastAsia="zh-CN"/>
        </w:rPr>
      </w:pPr>
    </w:p>
    <w:tbl>
      <w:tblPr>
        <w:tblStyle w:val="18"/>
        <w:tblW w:w="593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989"/>
        <w:gridCol w:w="488"/>
        <w:gridCol w:w="411"/>
        <w:gridCol w:w="1456"/>
        <w:gridCol w:w="1201"/>
        <w:gridCol w:w="1427"/>
        <w:gridCol w:w="1358"/>
        <w:gridCol w:w="748"/>
        <w:gridCol w:w="975"/>
        <w:gridCol w:w="1062"/>
      </w:tblGrid>
      <w:tr w14:paraId="23950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4309" w:type="pct"/>
            <w:gridSpan w:val="10"/>
            <w:tcBorders>
              <w:top w:val="nil"/>
              <w:left w:val="nil"/>
              <w:bottom w:val="nil"/>
              <w:right w:val="nil"/>
            </w:tcBorders>
            <w:shd w:val="clear" w:color="auto" w:fill="auto"/>
            <w:tcMar>
              <w:left w:w="108" w:type="dxa"/>
              <w:right w:w="108" w:type="dxa"/>
            </w:tcMar>
            <w:vAlign w:val="top"/>
          </w:tcPr>
          <w:p w14:paraId="04BC0F8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8"/>
                <w:szCs w:val="28"/>
              </w:rPr>
            </w:pPr>
            <w:r>
              <w:rPr>
                <w:rFonts w:hint="eastAsia" w:ascii="仿宋" w:hAnsi="仿宋" w:eastAsia="仿宋" w:cs="仿宋"/>
                <w:spacing w:val="20"/>
                <w:kern w:val="0"/>
                <w:sz w:val="28"/>
                <w:szCs w:val="28"/>
              </w:rPr>
              <w:t>项目支出绩效自评表</w:t>
            </w:r>
          </w:p>
        </w:tc>
      </w:tr>
      <w:tr w14:paraId="20245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4309" w:type="pct"/>
            <w:gridSpan w:val="10"/>
            <w:tcBorders>
              <w:top w:val="nil"/>
              <w:left w:val="nil"/>
              <w:bottom w:val="nil"/>
              <w:right w:val="nil"/>
            </w:tcBorders>
            <w:shd w:val="clear" w:color="auto" w:fill="auto"/>
            <w:tcMar>
              <w:left w:w="108" w:type="dxa"/>
              <w:right w:w="108" w:type="dxa"/>
            </w:tcMar>
            <w:vAlign w:val="top"/>
          </w:tcPr>
          <w:p w14:paraId="0ED8082B">
            <w:pPr>
              <w:keepNext w:val="0"/>
              <w:keepLines w:val="0"/>
              <w:widowControl/>
              <w:suppressLineNumbers w:val="0"/>
              <w:snapToGrid w:val="0"/>
              <w:spacing w:before="0" w:beforeAutospacing="0" w:after="0" w:afterAutospacing="0"/>
              <w:ind w:left="0" w:right="0"/>
              <w:jc w:val="center"/>
              <w:rPr>
                <w:rFonts w:hint="eastAsia" w:ascii="仿宋" w:hAnsi="仿宋" w:eastAsia="仿宋" w:cs="仿宋"/>
                <w:kern w:val="0"/>
                <w:sz w:val="28"/>
                <w:szCs w:val="28"/>
              </w:rPr>
            </w:pPr>
            <w:r>
              <w:rPr>
                <w:rFonts w:hint="eastAsia" w:ascii="仿宋" w:hAnsi="仿宋" w:eastAsia="仿宋" w:cs="仿宋"/>
                <w:kern w:val="0"/>
                <w:sz w:val="28"/>
                <w:szCs w:val="28"/>
              </w:rPr>
              <w:t>（202</w:t>
            </w:r>
            <w:r>
              <w:rPr>
                <w:rFonts w:hint="eastAsia" w:ascii="仿宋" w:hAnsi="仿宋" w:eastAsia="仿宋" w:cs="仿宋"/>
                <w:kern w:val="0"/>
                <w:sz w:val="28"/>
                <w:szCs w:val="28"/>
                <w:lang w:val="en-US" w:eastAsia="zh-CN"/>
              </w:rPr>
              <w:t>5</w:t>
            </w:r>
            <w:r>
              <w:rPr>
                <w:rFonts w:hint="eastAsia" w:ascii="仿宋" w:hAnsi="仿宋" w:eastAsia="仿宋" w:cs="仿宋"/>
                <w:kern w:val="0"/>
                <w:sz w:val="28"/>
                <w:szCs w:val="28"/>
              </w:rPr>
              <w:t>年度）</w:t>
            </w:r>
          </w:p>
        </w:tc>
      </w:tr>
      <w:tr w14:paraId="0E030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629" w:type="pct"/>
            <w:gridSpan w:val="2"/>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BA06BDC">
            <w:pPr>
              <w:keepNext w:val="0"/>
              <w:keepLines w:val="0"/>
              <w:widowControl/>
              <w:suppressLineNumbers w:val="0"/>
              <w:snapToGrid w:val="0"/>
              <w:spacing w:before="0" w:beforeAutospacing="1" w:after="0" w:afterAutospacing="1"/>
              <w:ind w:left="0" w:right="0"/>
              <w:jc w:val="center"/>
              <w:rPr>
                <w:rFonts w:hint="eastAsia" w:ascii="宋体" w:hAnsi="宋体" w:eastAsia="宋体" w:cs="宋体"/>
                <w:kern w:val="0"/>
                <w:sz w:val="24"/>
                <w:szCs w:val="24"/>
              </w:rPr>
            </w:pPr>
            <w:r>
              <w:rPr>
                <w:rFonts w:hint="eastAsia" w:ascii="仿宋" w:hAnsi="仿宋" w:eastAsia="仿宋" w:cs="仿宋"/>
                <w:kern w:val="0"/>
                <w:sz w:val="21"/>
                <w:szCs w:val="21"/>
              </w:rPr>
              <w:t>项目名称</w:t>
            </w:r>
          </w:p>
        </w:tc>
        <w:tc>
          <w:tcPr>
            <w:tcW w:w="3680" w:type="pct"/>
            <w:gridSpan w:val="8"/>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14:paraId="7534C194">
            <w:pPr>
              <w:keepNext w:val="0"/>
              <w:keepLines w:val="0"/>
              <w:widowControl/>
              <w:suppressLineNumbers w:val="0"/>
              <w:snapToGrid w:val="0"/>
              <w:spacing w:before="0" w:beforeAutospacing="1" w:after="0" w:afterAutospacing="1"/>
              <w:ind w:left="0" w:right="0"/>
              <w:jc w:val="center"/>
              <w:rPr>
                <w:rFonts w:hint="eastAsia" w:ascii="宋体" w:hAnsi="宋体" w:eastAsia="宋体" w:cs="宋体"/>
                <w:kern w:val="0"/>
                <w:sz w:val="24"/>
                <w:szCs w:val="24"/>
              </w:rPr>
            </w:pPr>
            <w:r>
              <w:rPr>
                <w:rFonts w:hint="eastAsia" w:ascii="仿宋" w:hAnsi="仿宋" w:eastAsia="仿宋" w:cs="仿宋"/>
                <w:color w:val="000000"/>
                <w:kern w:val="0"/>
                <w:sz w:val="21"/>
                <w:szCs w:val="21"/>
              </w:rPr>
              <w:t>外泌体载脂蛋白A1在耐药性结核病形成中的作用及其诊断价值</w:t>
            </w:r>
          </w:p>
        </w:tc>
      </w:tr>
      <w:tr w14:paraId="04E96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629" w:type="pct"/>
            <w:gridSpan w:val="2"/>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B5B05B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主管部门</w:t>
            </w:r>
          </w:p>
        </w:tc>
        <w:tc>
          <w:tcPr>
            <w:tcW w:w="1915" w:type="pct"/>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2B037126">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呼伦贝尔市卫生健康委员会</w:t>
            </w:r>
          </w:p>
        </w:tc>
        <w:tc>
          <w:tcPr>
            <w:tcW w:w="578" w:type="pct"/>
            <w:tcBorders>
              <w:top w:val="nil"/>
              <w:left w:val="nil"/>
              <w:bottom w:val="single" w:color="auto" w:sz="8" w:space="0"/>
              <w:right w:val="single" w:color="auto" w:sz="8" w:space="0"/>
            </w:tcBorders>
            <w:shd w:val="clear" w:color="auto" w:fill="auto"/>
            <w:tcMar>
              <w:left w:w="108" w:type="dxa"/>
              <w:right w:w="108" w:type="dxa"/>
            </w:tcMar>
            <w:vAlign w:val="center"/>
          </w:tcPr>
          <w:p w14:paraId="1FC09846">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实施单位</w:t>
            </w:r>
          </w:p>
        </w:tc>
        <w:tc>
          <w:tcPr>
            <w:tcW w:w="1186" w:type="pct"/>
            <w:gridSpan w:val="3"/>
            <w:tcBorders>
              <w:top w:val="nil"/>
              <w:left w:val="nil"/>
              <w:bottom w:val="single" w:color="auto" w:sz="8" w:space="0"/>
              <w:right w:val="single" w:color="auto" w:sz="8" w:space="0"/>
            </w:tcBorders>
            <w:shd w:val="clear" w:color="auto" w:fill="auto"/>
            <w:tcMar>
              <w:left w:w="108" w:type="dxa"/>
              <w:right w:w="108" w:type="dxa"/>
            </w:tcMar>
            <w:vAlign w:val="top"/>
          </w:tcPr>
          <w:p w14:paraId="6B3FD01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lang w:eastAsia="zh-CN"/>
              </w:rPr>
            </w:pPr>
            <w:r>
              <w:rPr>
                <w:rFonts w:hint="eastAsia" w:ascii="仿宋" w:hAnsi="仿宋" w:eastAsia="仿宋" w:cs="仿宋"/>
                <w:kern w:val="0"/>
                <w:sz w:val="18"/>
                <w:szCs w:val="18"/>
              </w:rPr>
              <w:t>呼伦贝尔市</w:t>
            </w:r>
            <w:r>
              <w:rPr>
                <w:rFonts w:hint="eastAsia" w:ascii="仿宋" w:hAnsi="仿宋" w:eastAsia="仿宋" w:cs="仿宋"/>
                <w:kern w:val="0"/>
                <w:sz w:val="18"/>
                <w:szCs w:val="18"/>
                <w:lang w:val="en-US" w:eastAsia="zh-CN"/>
              </w:rPr>
              <w:t>第二人民</w:t>
            </w:r>
            <w:r>
              <w:rPr>
                <w:rFonts w:hint="eastAsia" w:ascii="仿宋" w:hAnsi="仿宋" w:eastAsia="仿宋" w:cs="仿宋"/>
                <w:kern w:val="0"/>
                <w:sz w:val="18"/>
                <w:szCs w:val="18"/>
              </w:rPr>
              <w:t>医院</w:t>
            </w:r>
            <w:r>
              <w:rPr>
                <w:rFonts w:hint="eastAsia" w:ascii="仿宋" w:hAnsi="仿宋" w:eastAsia="仿宋" w:cs="仿宋"/>
                <w:kern w:val="0"/>
                <w:sz w:val="18"/>
                <w:szCs w:val="18"/>
                <w:lang w:val="en-US" w:eastAsia="zh-CN"/>
              </w:rPr>
              <w:t xml:space="preserve">   </w:t>
            </w:r>
            <w:r>
              <w:rPr>
                <w:rFonts w:hint="eastAsia" w:ascii="仿宋" w:hAnsi="仿宋" w:eastAsia="仿宋" w:cs="仿宋"/>
                <w:kern w:val="0"/>
                <w:sz w:val="18"/>
                <w:szCs w:val="18"/>
                <w:lang w:eastAsia="zh-CN"/>
              </w:rPr>
              <w:t>（</w:t>
            </w:r>
            <w:r>
              <w:rPr>
                <w:rFonts w:hint="eastAsia" w:ascii="仿宋" w:hAnsi="仿宋" w:eastAsia="仿宋" w:cs="仿宋"/>
                <w:kern w:val="0"/>
                <w:sz w:val="18"/>
                <w:szCs w:val="18"/>
                <w:lang w:val="en-US" w:eastAsia="zh-CN"/>
              </w:rPr>
              <w:t>呼伦贝尔市传染病医院</w:t>
            </w:r>
            <w:r>
              <w:rPr>
                <w:rFonts w:hint="eastAsia" w:ascii="仿宋" w:hAnsi="仿宋" w:eastAsia="仿宋" w:cs="仿宋"/>
                <w:kern w:val="0"/>
                <w:sz w:val="18"/>
                <w:szCs w:val="18"/>
                <w:lang w:eastAsia="zh-CN"/>
              </w:rPr>
              <w:t>）</w:t>
            </w:r>
          </w:p>
        </w:tc>
      </w:tr>
      <w:tr w14:paraId="48781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629" w:type="pct"/>
            <w:gridSpan w:val="2"/>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A41EC79">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 xml:space="preserve">项目资金 </w:t>
            </w:r>
            <w:r>
              <w:rPr>
                <w:rFonts w:hint="eastAsia" w:ascii="仿宋" w:hAnsi="仿宋" w:eastAsia="仿宋" w:cs="仿宋"/>
                <w:kern w:val="0"/>
                <w:sz w:val="18"/>
                <w:szCs w:val="18"/>
                <w:lang w:val="en-US" w:eastAsia="zh-CN"/>
              </w:rPr>
              <w:t xml:space="preserve">   </w:t>
            </w:r>
            <w:r>
              <w:rPr>
                <w:rFonts w:hint="eastAsia" w:ascii="仿宋" w:hAnsi="仿宋" w:eastAsia="仿宋" w:cs="仿宋"/>
                <w:kern w:val="0"/>
                <w:sz w:val="18"/>
                <w:szCs w:val="18"/>
              </w:rPr>
              <w:t>（万元）</w:t>
            </w:r>
          </w:p>
        </w:tc>
        <w:tc>
          <w:tcPr>
            <w:tcW w:w="795" w:type="pct"/>
            <w:gridSpan w:val="2"/>
            <w:tcBorders>
              <w:top w:val="nil"/>
              <w:left w:val="nil"/>
              <w:bottom w:val="single" w:color="auto" w:sz="8" w:space="0"/>
              <w:right w:val="single" w:color="auto" w:sz="8" w:space="0"/>
            </w:tcBorders>
            <w:shd w:val="clear" w:color="auto" w:fill="auto"/>
            <w:tcMar>
              <w:left w:w="108" w:type="dxa"/>
              <w:right w:w="108" w:type="dxa"/>
            </w:tcMar>
            <w:vAlign w:val="top"/>
          </w:tcPr>
          <w:p w14:paraId="1C65558F">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p>
        </w:tc>
        <w:tc>
          <w:tcPr>
            <w:tcW w:w="511" w:type="pct"/>
            <w:tcBorders>
              <w:top w:val="nil"/>
              <w:left w:val="nil"/>
              <w:bottom w:val="single" w:color="auto" w:sz="8" w:space="0"/>
              <w:right w:val="single" w:color="auto" w:sz="8" w:space="0"/>
            </w:tcBorders>
            <w:shd w:val="clear" w:color="auto" w:fill="auto"/>
            <w:tcMar>
              <w:left w:w="108" w:type="dxa"/>
              <w:right w:w="108" w:type="dxa"/>
            </w:tcMar>
            <w:vAlign w:val="center"/>
          </w:tcPr>
          <w:p w14:paraId="10D47F1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年初预算数</w:t>
            </w:r>
          </w:p>
        </w:tc>
        <w:tc>
          <w:tcPr>
            <w:tcW w:w="608" w:type="pct"/>
            <w:tcBorders>
              <w:top w:val="nil"/>
              <w:left w:val="nil"/>
              <w:bottom w:val="single" w:color="auto" w:sz="8" w:space="0"/>
              <w:right w:val="single" w:color="auto" w:sz="8" w:space="0"/>
            </w:tcBorders>
            <w:shd w:val="clear" w:color="auto" w:fill="auto"/>
            <w:tcMar>
              <w:left w:w="108" w:type="dxa"/>
              <w:right w:w="108" w:type="dxa"/>
            </w:tcMar>
            <w:vAlign w:val="center"/>
          </w:tcPr>
          <w:p w14:paraId="43B29DC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全年预算数</w:t>
            </w:r>
          </w:p>
        </w:tc>
        <w:tc>
          <w:tcPr>
            <w:tcW w:w="578" w:type="pct"/>
            <w:tcBorders>
              <w:top w:val="nil"/>
              <w:left w:val="nil"/>
              <w:bottom w:val="single" w:color="auto" w:sz="8" w:space="0"/>
              <w:right w:val="single" w:color="auto" w:sz="8" w:space="0"/>
            </w:tcBorders>
            <w:shd w:val="clear" w:color="auto" w:fill="auto"/>
            <w:tcMar>
              <w:left w:w="108" w:type="dxa"/>
              <w:right w:w="108" w:type="dxa"/>
            </w:tcMar>
            <w:vAlign w:val="center"/>
          </w:tcPr>
          <w:p w14:paraId="42AFF92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全年执行数</w:t>
            </w: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6452191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分值</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center"/>
          </w:tcPr>
          <w:p w14:paraId="4CD306E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执行率</w:t>
            </w:r>
          </w:p>
        </w:tc>
        <w:tc>
          <w:tcPr>
            <w:tcW w:w="452" w:type="pct"/>
            <w:tcBorders>
              <w:top w:val="nil"/>
              <w:left w:val="nil"/>
              <w:bottom w:val="single" w:color="auto" w:sz="8" w:space="0"/>
              <w:right w:val="single" w:color="auto" w:sz="8" w:space="0"/>
            </w:tcBorders>
            <w:shd w:val="clear" w:color="auto" w:fill="auto"/>
            <w:tcMar>
              <w:left w:w="108" w:type="dxa"/>
              <w:right w:w="108" w:type="dxa"/>
            </w:tcMar>
            <w:vAlign w:val="center"/>
          </w:tcPr>
          <w:p w14:paraId="6BF4CB46">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得分</w:t>
            </w:r>
          </w:p>
        </w:tc>
      </w:tr>
      <w:tr w14:paraId="41C5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629" w:type="pct"/>
            <w:gridSpan w:val="2"/>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8837188">
            <w:pPr>
              <w:snapToGrid w:val="0"/>
              <w:jc w:val="center"/>
              <w:rPr>
                <w:rFonts w:hint="eastAsia" w:ascii="仿宋" w:hAnsi="仿宋" w:eastAsia="仿宋" w:cs="仿宋"/>
                <w:sz w:val="20"/>
                <w:szCs w:val="20"/>
              </w:rPr>
            </w:pPr>
          </w:p>
        </w:tc>
        <w:tc>
          <w:tcPr>
            <w:tcW w:w="795" w:type="pct"/>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BD9720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年度资金总额</w:t>
            </w:r>
          </w:p>
        </w:tc>
        <w:tc>
          <w:tcPr>
            <w:tcW w:w="511" w:type="pct"/>
            <w:tcBorders>
              <w:top w:val="nil"/>
              <w:left w:val="nil"/>
              <w:bottom w:val="single" w:color="auto" w:sz="8" w:space="0"/>
              <w:right w:val="single" w:color="auto" w:sz="8" w:space="0"/>
            </w:tcBorders>
            <w:shd w:val="clear" w:color="auto" w:fill="auto"/>
            <w:tcMar>
              <w:left w:w="108" w:type="dxa"/>
              <w:right w:w="108" w:type="dxa"/>
            </w:tcMar>
            <w:vAlign w:val="center"/>
          </w:tcPr>
          <w:p w14:paraId="53FDF027">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2.01</w:t>
            </w:r>
          </w:p>
        </w:tc>
        <w:tc>
          <w:tcPr>
            <w:tcW w:w="608" w:type="pct"/>
            <w:tcBorders>
              <w:top w:val="nil"/>
              <w:left w:val="nil"/>
              <w:bottom w:val="single" w:color="auto" w:sz="8" w:space="0"/>
              <w:right w:val="single" w:color="auto" w:sz="8" w:space="0"/>
            </w:tcBorders>
            <w:shd w:val="clear" w:color="auto" w:fill="auto"/>
            <w:tcMar>
              <w:left w:w="108" w:type="dxa"/>
              <w:right w:w="108" w:type="dxa"/>
            </w:tcMar>
            <w:vAlign w:val="center"/>
          </w:tcPr>
          <w:p w14:paraId="619CCF4D">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eastAsia="zh-CN"/>
              </w:rPr>
            </w:pPr>
            <w:r>
              <w:rPr>
                <w:rFonts w:hint="eastAsia" w:ascii="仿宋" w:hAnsi="仿宋" w:eastAsia="仿宋" w:cs="仿宋"/>
                <w:kern w:val="0"/>
                <w:sz w:val="18"/>
                <w:szCs w:val="18"/>
                <w:lang w:val="en-US" w:eastAsia="zh-CN"/>
              </w:rPr>
              <w:t>2.01</w:t>
            </w:r>
          </w:p>
        </w:tc>
        <w:tc>
          <w:tcPr>
            <w:tcW w:w="578" w:type="pct"/>
            <w:tcBorders>
              <w:top w:val="nil"/>
              <w:left w:val="nil"/>
              <w:bottom w:val="single" w:color="auto" w:sz="8" w:space="0"/>
              <w:right w:val="single" w:color="auto" w:sz="8" w:space="0"/>
            </w:tcBorders>
            <w:shd w:val="clear" w:color="auto" w:fill="auto"/>
            <w:tcMar>
              <w:left w:w="108" w:type="dxa"/>
              <w:right w:w="108" w:type="dxa"/>
            </w:tcMar>
            <w:vAlign w:val="center"/>
          </w:tcPr>
          <w:p w14:paraId="5813F195">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eastAsia="zh-CN"/>
              </w:rPr>
            </w:pPr>
            <w:r>
              <w:rPr>
                <w:rFonts w:hint="eastAsia" w:ascii="仿宋" w:hAnsi="仿宋" w:eastAsia="仿宋" w:cs="仿宋"/>
                <w:kern w:val="0"/>
                <w:sz w:val="18"/>
                <w:szCs w:val="18"/>
                <w:lang w:val="en-US" w:eastAsia="zh-CN"/>
              </w:rPr>
              <w:t>1.39</w:t>
            </w: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6244F9E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10</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center"/>
          </w:tcPr>
          <w:p w14:paraId="49D741CF">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lang w:val="en-US" w:eastAsia="zh-CN"/>
              </w:rPr>
              <w:t>69.15</w:t>
            </w:r>
            <w:r>
              <w:rPr>
                <w:rFonts w:hint="eastAsia" w:ascii="仿宋" w:hAnsi="仿宋" w:eastAsia="仿宋" w:cs="仿宋"/>
                <w:kern w:val="0"/>
                <w:sz w:val="18"/>
                <w:szCs w:val="18"/>
              </w:rPr>
              <w:t>%</w:t>
            </w:r>
          </w:p>
        </w:tc>
        <w:tc>
          <w:tcPr>
            <w:tcW w:w="452" w:type="pct"/>
            <w:tcBorders>
              <w:top w:val="nil"/>
              <w:left w:val="nil"/>
              <w:bottom w:val="single" w:color="auto" w:sz="8" w:space="0"/>
              <w:right w:val="single" w:color="auto" w:sz="8" w:space="0"/>
            </w:tcBorders>
            <w:shd w:val="clear" w:color="auto" w:fill="auto"/>
            <w:tcMar>
              <w:left w:w="108" w:type="dxa"/>
              <w:right w:w="108" w:type="dxa"/>
            </w:tcMar>
            <w:vAlign w:val="center"/>
          </w:tcPr>
          <w:p w14:paraId="6817035B">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rPr>
            </w:pPr>
            <w:r>
              <w:rPr>
                <w:rFonts w:hint="eastAsia" w:ascii="仿宋" w:hAnsi="仿宋" w:eastAsia="仿宋" w:cs="仿宋"/>
                <w:kern w:val="0"/>
                <w:sz w:val="18"/>
                <w:szCs w:val="18"/>
                <w:lang w:val="en-US" w:eastAsia="zh-CN"/>
              </w:rPr>
              <w:t>6.92</w:t>
            </w:r>
          </w:p>
        </w:tc>
      </w:tr>
      <w:tr w14:paraId="7BAE0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629" w:type="pct"/>
            <w:gridSpan w:val="2"/>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164D9B2">
            <w:pPr>
              <w:snapToGrid w:val="0"/>
              <w:jc w:val="center"/>
              <w:rPr>
                <w:rFonts w:hint="eastAsia" w:ascii="仿宋" w:hAnsi="仿宋" w:eastAsia="仿宋" w:cs="仿宋"/>
                <w:sz w:val="20"/>
                <w:szCs w:val="20"/>
              </w:rPr>
            </w:pPr>
          </w:p>
        </w:tc>
        <w:tc>
          <w:tcPr>
            <w:tcW w:w="795" w:type="pct"/>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4953FF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其中：财政拨款</w:t>
            </w:r>
          </w:p>
        </w:tc>
        <w:tc>
          <w:tcPr>
            <w:tcW w:w="511" w:type="pct"/>
            <w:tcBorders>
              <w:top w:val="nil"/>
              <w:left w:val="nil"/>
              <w:bottom w:val="single" w:color="auto" w:sz="8" w:space="0"/>
              <w:right w:val="single" w:color="auto" w:sz="8" w:space="0"/>
            </w:tcBorders>
            <w:shd w:val="clear" w:color="auto" w:fill="auto"/>
            <w:tcMar>
              <w:left w:w="108" w:type="dxa"/>
              <w:right w:w="108" w:type="dxa"/>
            </w:tcMar>
            <w:vAlign w:val="center"/>
          </w:tcPr>
          <w:p w14:paraId="29378DD1">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2.01</w:t>
            </w:r>
          </w:p>
        </w:tc>
        <w:tc>
          <w:tcPr>
            <w:tcW w:w="608" w:type="pct"/>
            <w:tcBorders>
              <w:top w:val="nil"/>
              <w:left w:val="nil"/>
              <w:bottom w:val="single" w:color="auto" w:sz="8" w:space="0"/>
              <w:right w:val="single" w:color="auto" w:sz="8" w:space="0"/>
            </w:tcBorders>
            <w:shd w:val="clear" w:color="auto" w:fill="auto"/>
            <w:tcMar>
              <w:left w:w="108" w:type="dxa"/>
              <w:right w:w="108" w:type="dxa"/>
            </w:tcMar>
            <w:vAlign w:val="center"/>
          </w:tcPr>
          <w:p w14:paraId="1A7AE8B4">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rPr>
            </w:pPr>
            <w:r>
              <w:rPr>
                <w:rFonts w:hint="eastAsia" w:ascii="仿宋" w:hAnsi="仿宋" w:eastAsia="仿宋" w:cs="仿宋"/>
                <w:kern w:val="0"/>
                <w:sz w:val="18"/>
                <w:szCs w:val="18"/>
                <w:lang w:val="en-US" w:eastAsia="zh-CN"/>
              </w:rPr>
              <w:t>2.01</w:t>
            </w:r>
          </w:p>
        </w:tc>
        <w:tc>
          <w:tcPr>
            <w:tcW w:w="578" w:type="pct"/>
            <w:tcBorders>
              <w:top w:val="nil"/>
              <w:left w:val="nil"/>
              <w:bottom w:val="single" w:color="auto" w:sz="8" w:space="0"/>
              <w:right w:val="single" w:color="auto" w:sz="8" w:space="0"/>
            </w:tcBorders>
            <w:shd w:val="clear" w:color="auto" w:fill="auto"/>
            <w:tcMar>
              <w:left w:w="108" w:type="dxa"/>
              <w:right w:w="108" w:type="dxa"/>
            </w:tcMar>
            <w:vAlign w:val="center"/>
          </w:tcPr>
          <w:p w14:paraId="35A0693C">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eastAsia="zh-CN"/>
              </w:rPr>
            </w:pPr>
            <w:r>
              <w:rPr>
                <w:rFonts w:hint="eastAsia" w:ascii="仿宋" w:hAnsi="仿宋" w:eastAsia="仿宋" w:cs="仿宋"/>
                <w:kern w:val="0"/>
                <w:sz w:val="18"/>
                <w:szCs w:val="18"/>
                <w:lang w:val="en-US" w:eastAsia="zh-CN"/>
              </w:rPr>
              <w:t>1.39</w:t>
            </w: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4CACB0B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center"/>
          </w:tcPr>
          <w:p w14:paraId="3239386B">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lang w:val="en-US" w:eastAsia="zh-CN"/>
              </w:rPr>
              <w:t>69.15</w:t>
            </w:r>
            <w:r>
              <w:rPr>
                <w:rFonts w:hint="eastAsia" w:ascii="仿宋" w:hAnsi="仿宋" w:eastAsia="仿宋" w:cs="仿宋"/>
                <w:kern w:val="0"/>
                <w:sz w:val="18"/>
                <w:szCs w:val="18"/>
              </w:rPr>
              <w:t>%</w:t>
            </w:r>
          </w:p>
        </w:tc>
        <w:tc>
          <w:tcPr>
            <w:tcW w:w="452" w:type="pct"/>
            <w:tcBorders>
              <w:top w:val="nil"/>
              <w:left w:val="nil"/>
              <w:bottom w:val="single" w:color="auto" w:sz="8" w:space="0"/>
              <w:right w:val="single" w:color="auto" w:sz="8" w:space="0"/>
            </w:tcBorders>
            <w:shd w:val="clear" w:color="auto" w:fill="auto"/>
            <w:tcMar>
              <w:left w:w="108" w:type="dxa"/>
              <w:right w:w="108" w:type="dxa"/>
            </w:tcMar>
            <w:vAlign w:val="center"/>
          </w:tcPr>
          <w:p w14:paraId="71813547">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w:t>
            </w:r>
          </w:p>
        </w:tc>
      </w:tr>
      <w:tr w14:paraId="0B7D4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629" w:type="pct"/>
            <w:gridSpan w:val="2"/>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1EECE41">
            <w:pPr>
              <w:snapToGrid w:val="0"/>
              <w:jc w:val="center"/>
              <w:rPr>
                <w:rFonts w:hint="eastAsia" w:ascii="仿宋" w:hAnsi="仿宋" w:eastAsia="仿宋" w:cs="仿宋"/>
                <w:sz w:val="20"/>
                <w:szCs w:val="20"/>
              </w:rPr>
            </w:pPr>
          </w:p>
        </w:tc>
        <w:tc>
          <w:tcPr>
            <w:tcW w:w="795" w:type="pct"/>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018B13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其他资金</w:t>
            </w:r>
          </w:p>
        </w:tc>
        <w:tc>
          <w:tcPr>
            <w:tcW w:w="511" w:type="pct"/>
            <w:tcBorders>
              <w:top w:val="nil"/>
              <w:left w:val="nil"/>
              <w:bottom w:val="single" w:color="auto" w:sz="8" w:space="0"/>
              <w:right w:val="single" w:color="auto" w:sz="8" w:space="0"/>
            </w:tcBorders>
            <w:shd w:val="clear" w:color="auto" w:fill="auto"/>
            <w:tcMar>
              <w:left w:w="108" w:type="dxa"/>
              <w:right w:w="108" w:type="dxa"/>
            </w:tcMar>
            <w:vAlign w:val="top"/>
          </w:tcPr>
          <w:p w14:paraId="6B5C08E9">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p>
        </w:tc>
        <w:tc>
          <w:tcPr>
            <w:tcW w:w="608" w:type="pct"/>
            <w:tcBorders>
              <w:top w:val="nil"/>
              <w:left w:val="nil"/>
              <w:bottom w:val="single" w:color="auto" w:sz="8" w:space="0"/>
              <w:right w:val="single" w:color="auto" w:sz="8" w:space="0"/>
            </w:tcBorders>
            <w:shd w:val="clear" w:color="auto" w:fill="auto"/>
            <w:tcMar>
              <w:left w:w="108" w:type="dxa"/>
              <w:right w:w="108" w:type="dxa"/>
            </w:tcMar>
            <w:vAlign w:val="top"/>
          </w:tcPr>
          <w:p w14:paraId="74B8E93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p>
        </w:tc>
        <w:tc>
          <w:tcPr>
            <w:tcW w:w="578" w:type="pct"/>
            <w:tcBorders>
              <w:top w:val="nil"/>
              <w:left w:val="nil"/>
              <w:bottom w:val="single" w:color="auto" w:sz="8" w:space="0"/>
              <w:right w:val="single" w:color="auto" w:sz="8" w:space="0"/>
            </w:tcBorders>
            <w:shd w:val="clear" w:color="auto" w:fill="auto"/>
            <w:tcMar>
              <w:left w:w="108" w:type="dxa"/>
              <w:right w:w="108" w:type="dxa"/>
            </w:tcMar>
            <w:vAlign w:val="top"/>
          </w:tcPr>
          <w:p w14:paraId="16BE618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2BBCA13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top"/>
          </w:tcPr>
          <w:p w14:paraId="78DBC33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p>
        </w:tc>
        <w:tc>
          <w:tcPr>
            <w:tcW w:w="452" w:type="pct"/>
            <w:tcBorders>
              <w:top w:val="nil"/>
              <w:left w:val="nil"/>
              <w:bottom w:val="single" w:color="auto" w:sz="8" w:space="0"/>
              <w:right w:val="single" w:color="auto" w:sz="8" w:space="0"/>
            </w:tcBorders>
            <w:shd w:val="clear" w:color="auto" w:fill="auto"/>
            <w:tcMar>
              <w:left w:w="108" w:type="dxa"/>
              <w:right w:w="108" w:type="dxa"/>
            </w:tcMar>
            <w:vAlign w:val="center"/>
          </w:tcPr>
          <w:p w14:paraId="4BA9CBCF">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w:t>
            </w:r>
          </w:p>
        </w:tc>
      </w:tr>
      <w:tr w14:paraId="7E5D2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367" w:hRule="atLeast"/>
          <w:jc w:val="center"/>
        </w:trPr>
        <w:tc>
          <w:tcPr>
            <w:tcW w:w="421" w:type="pct"/>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1F97F6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年度总体目标</w:t>
            </w:r>
          </w:p>
        </w:tc>
        <w:tc>
          <w:tcPr>
            <w:tcW w:w="2123" w:type="pct"/>
            <w:gridSpan w:val="5"/>
            <w:tcBorders>
              <w:top w:val="nil"/>
              <w:left w:val="nil"/>
              <w:bottom w:val="single" w:color="auto" w:sz="8" w:space="0"/>
              <w:right w:val="single" w:color="auto" w:sz="8" w:space="0"/>
            </w:tcBorders>
            <w:shd w:val="clear" w:color="auto" w:fill="auto"/>
            <w:tcMar>
              <w:left w:w="108" w:type="dxa"/>
              <w:right w:w="108" w:type="dxa"/>
            </w:tcMar>
            <w:vAlign w:val="center"/>
          </w:tcPr>
          <w:p w14:paraId="220F35F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预期目标</w:t>
            </w:r>
          </w:p>
        </w:tc>
        <w:tc>
          <w:tcPr>
            <w:tcW w:w="1764" w:type="pct"/>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26D98E45">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实际完成情况</w:t>
            </w:r>
          </w:p>
        </w:tc>
      </w:tr>
      <w:tr w14:paraId="6176C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42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D881ED2">
            <w:pPr>
              <w:snapToGrid w:val="0"/>
              <w:jc w:val="center"/>
              <w:rPr>
                <w:rFonts w:hint="eastAsia" w:ascii="仿宋" w:hAnsi="仿宋" w:eastAsia="仿宋" w:cs="仿宋"/>
                <w:sz w:val="20"/>
                <w:szCs w:val="20"/>
              </w:rPr>
            </w:pPr>
          </w:p>
        </w:tc>
        <w:tc>
          <w:tcPr>
            <w:tcW w:w="2123" w:type="pct"/>
            <w:gridSpan w:val="5"/>
            <w:tcBorders>
              <w:top w:val="nil"/>
              <w:left w:val="nil"/>
              <w:bottom w:val="single" w:color="auto" w:sz="8" w:space="0"/>
              <w:right w:val="single" w:color="auto" w:sz="8" w:space="0"/>
            </w:tcBorders>
            <w:shd w:val="clear" w:color="auto" w:fill="auto"/>
            <w:tcMar>
              <w:left w:w="108" w:type="dxa"/>
              <w:right w:w="108" w:type="dxa"/>
            </w:tcMar>
            <w:vAlign w:val="top"/>
          </w:tcPr>
          <w:p w14:paraId="7750359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lang w:eastAsia="zh-CN"/>
              </w:rPr>
            </w:pPr>
            <w:r>
              <w:rPr>
                <w:rFonts w:hint="eastAsia" w:ascii="仿宋" w:hAnsi="仿宋" w:eastAsia="仿宋" w:cs="仿宋"/>
                <w:color w:val="000000"/>
                <w:kern w:val="0"/>
                <w:sz w:val="21"/>
                <w:szCs w:val="21"/>
              </w:rPr>
              <w:t>通过病例对照研究设计，利用临床病例明确APOA1蛋白碎屏与DR-TB感染状态的关联程度，分析其在DR-TB形成中的作用及其诊断价值。同时探讨APOA1蛋白水平对固有免疫细胞抗菌能力的影响及相关分子机制，以</w:t>
            </w:r>
            <w:r>
              <w:rPr>
                <w:rFonts w:hint="eastAsia" w:ascii="仿宋" w:hAnsi="仿宋" w:eastAsia="仿宋" w:cs="仿宋"/>
                <w:color w:val="000000"/>
                <w:kern w:val="0"/>
                <w:sz w:val="21"/>
                <w:szCs w:val="21"/>
                <w:lang w:val="en-US" w:eastAsia="zh-CN"/>
              </w:rPr>
              <w:t>此</w:t>
            </w:r>
            <w:r>
              <w:rPr>
                <w:rFonts w:hint="eastAsia" w:ascii="仿宋" w:hAnsi="仿宋" w:eastAsia="仿宋" w:cs="仿宋"/>
                <w:color w:val="000000"/>
                <w:kern w:val="0"/>
                <w:sz w:val="21"/>
                <w:szCs w:val="21"/>
              </w:rPr>
              <w:t>为推动DR-TB的精准防治提供有力支撑</w:t>
            </w:r>
            <w:r>
              <w:rPr>
                <w:rFonts w:hint="eastAsia" w:ascii="仿宋" w:hAnsi="仿宋" w:eastAsia="仿宋" w:cs="仿宋"/>
                <w:color w:val="000000"/>
                <w:kern w:val="0"/>
                <w:sz w:val="21"/>
                <w:szCs w:val="21"/>
                <w:lang w:eastAsia="zh-CN"/>
              </w:rPr>
              <w:t>。</w:t>
            </w:r>
          </w:p>
        </w:tc>
        <w:tc>
          <w:tcPr>
            <w:tcW w:w="1764" w:type="pct"/>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460EAFD2">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eastAsia="zh-CN"/>
              </w:rPr>
            </w:pPr>
            <w:r>
              <w:rPr>
                <w:rFonts w:hint="eastAsia" w:ascii="仿宋" w:hAnsi="仿宋" w:eastAsia="仿宋" w:cs="仿宋"/>
                <w:kern w:val="0"/>
                <w:sz w:val="21"/>
                <w:szCs w:val="21"/>
                <w:lang w:val="en-US" w:eastAsia="zh-CN"/>
              </w:rPr>
              <w:t>科研项目本年已实施完毕。</w:t>
            </w:r>
          </w:p>
        </w:tc>
      </w:tr>
      <w:tr w14:paraId="3D2B0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421" w:type="pct"/>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32B4C6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绩  效 指  标（100）</w:t>
            </w:r>
          </w:p>
        </w:tc>
        <w:tc>
          <w:tcPr>
            <w:tcW w:w="383" w:type="pct"/>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9FF047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一级指标</w:t>
            </w:r>
          </w:p>
        </w:tc>
        <w:tc>
          <w:tcPr>
            <w:tcW w:w="620" w:type="pct"/>
            <w:tcBorders>
              <w:top w:val="nil"/>
              <w:left w:val="nil"/>
              <w:bottom w:val="single" w:color="auto" w:sz="8" w:space="0"/>
              <w:right w:val="single" w:color="auto" w:sz="8" w:space="0"/>
            </w:tcBorders>
            <w:shd w:val="clear" w:color="auto" w:fill="auto"/>
            <w:tcMar>
              <w:left w:w="108" w:type="dxa"/>
              <w:right w:w="108" w:type="dxa"/>
            </w:tcMar>
            <w:vAlign w:val="center"/>
          </w:tcPr>
          <w:p w14:paraId="1D7EE0A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二级指标</w:t>
            </w:r>
          </w:p>
        </w:tc>
        <w:tc>
          <w:tcPr>
            <w:tcW w:w="511" w:type="pct"/>
            <w:tcBorders>
              <w:top w:val="nil"/>
              <w:left w:val="nil"/>
              <w:bottom w:val="single" w:color="auto" w:sz="8" w:space="0"/>
              <w:right w:val="single" w:color="auto" w:sz="8" w:space="0"/>
            </w:tcBorders>
            <w:shd w:val="clear" w:color="auto" w:fill="auto"/>
            <w:tcMar>
              <w:left w:w="108" w:type="dxa"/>
              <w:right w:w="108" w:type="dxa"/>
            </w:tcMar>
            <w:vAlign w:val="center"/>
          </w:tcPr>
          <w:p w14:paraId="290157F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三级指标</w:t>
            </w:r>
          </w:p>
        </w:tc>
        <w:tc>
          <w:tcPr>
            <w:tcW w:w="608" w:type="pct"/>
            <w:tcBorders>
              <w:top w:val="nil"/>
              <w:left w:val="nil"/>
              <w:bottom w:val="single" w:color="auto" w:sz="8" w:space="0"/>
              <w:right w:val="single" w:color="auto" w:sz="8" w:space="0"/>
            </w:tcBorders>
            <w:shd w:val="clear" w:color="auto" w:fill="auto"/>
            <w:tcMar>
              <w:left w:w="108" w:type="dxa"/>
              <w:right w:w="108" w:type="dxa"/>
            </w:tcMar>
            <w:vAlign w:val="center"/>
          </w:tcPr>
          <w:p w14:paraId="69991EB6">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年度指标值</w:t>
            </w:r>
          </w:p>
        </w:tc>
        <w:tc>
          <w:tcPr>
            <w:tcW w:w="578" w:type="pct"/>
            <w:tcBorders>
              <w:top w:val="nil"/>
              <w:left w:val="nil"/>
              <w:bottom w:val="single" w:color="auto" w:sz="8" w:space="0"/>
              <w:right w:val="single" w:color="auto" w:sz="8" w:space="0"/>
            </w:tcBorders>
            <w:shd w:val="clear" w:color="auto" w:fill="auto"/>
            <w:tcMar>
              <w:left w:w="108" w:type="dxa"/>
              <w:right w:w="108" w:type="dxa"/>
            </w:tcMar>
            <w:vAlign w:val="center"/>
          </w:tcPr>
          <w:p w14:paraId="242CAF35">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实际完成值</w:t>
            </w: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607AD055">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分值</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center"/>
          </w:tcPr>
          <w:p w14:paraId="79724C9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得分</w:t>
            </w:r>
          </w:p>
        </w:tc>
        <w:tc>
          <w:tcPr>
            <w:tcW w:w="452" w:type="pct"/>
            <w:tcBorders>
              <w:top w:val="nil"/>
              <w:left w:val="nil"/>
              <w:bottom w:val="single" w:color="auto" w:sz="8" w:space="0"/>
              <w:right w:val="single" w:color="auto" w:sz="8" w:space="0"/>
            </w:tcBorders>
            <w:shd w:val="clear" w:color="auto" w:fill="auto"/>
            <w:tcMar>
              <w:left w:w="108" w:type="dxa"/>
              <w:right w:w="108" w:type="dxa"/>
            </w:tcMar>
            <w:vAlign w:val="center"/>
          </w:tcPr>
          <w:p w14:paraId="6AFC913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偏差原因分析及改进措施</w:t>
            </w:r>
          </w:p>
        </w:tc>
      </w:tr>
      <w:tr w14:paraId="20D64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jc w:val="center"/>
        </w:trPr>
        <w:tc>
          <w:tcPr>
            <w:tcW w:w="42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59F5D83">
            <w:pPr>
              <w:snapToGrid w:val="0"/>
              <w:jc w:val="center"/>
              <w:rPr>
                <w:rFonts w:hint="eastAsia" w:ascii="仿宋" w:hAnsi="仿宋" w:eastAsia="仿宋" w:cs="仿宋"/>
                <w:sz w:val="20"/>
                <w:szCs w:val="20"/>
              </w:rPr>
            </w:pPr>
          </w:p>
        </w:tc>
        <w:tc>
          <w:tcPr>
            <w:tcW w:w="383" w:type="pct"/>
            <w:gridSpan w:val="2"/>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130071BB">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产出指标（80）</w:t>
            </w:r>
          </w:p>
        </w:tc>
        <w:tc>
          <w:tcPr>
            <w:tcW w:w="620" w:type="pct"/>
            <w:vMerge w:val="restart"/>
            <w:tcBorders>
              <w:top w:val="nil"/>
              <w:left w:val="nil"/>
              <w:right w:val="single" w:color="auto" w:sz="8" w:space="0"/>
            </w:tcBorders>
            <w:shd w:val="clear" w:color="auto" w:fill="auto"/>
            <w:tcMar>
              <w:left w:w="108" w:type="dxa"/>
              <w:right w:w="108" w:type="dxa"/>
            </w:tcMar>
            <w:vAlign w:val="center"/>
          </w:tcPr>
          <w:p w14:paraId="0D92321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数量指标</w:t>
            </w:r>
          </w:p>
        </w:tc>
        <w:tc>
          <w:tcPr>
            <w:tcW w:w="511" w:type="pct"/>
            <w:tcBorders>
              <w:top w:val="nil"/>
              <w:left w:val="nil"/>
              <w:bottom w:val="single" w:color="auto" w:sz="8" w:space="0"/>
              <w:right w:val="single" w:color="auto" w:sz="8" w:space="0"/>
            </w:tcBorders>
            <w:shd w:val="clear" w:color="auto" w:fill="auto"/>
            <w:tcMar>
              <w:left w:w="108" w:type="dxa"/>
              <w:right w:w="108" w:type="dxa"/>
            </w:tcMar>
            <w:vAlign w:val="center"/>
          </w:tcPr>
          <w:p w14:paraId="260EFAE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立项数量</w:t>
            </w:r>
          </w:p>
        </w:tc>
        <w:tc>
          <w:tcPr>
            <w:tcW w:w="608" w:type="pct"/>
            <w:tcBorders>
              <w:top w:val="nil"/>
              <w:left w:val="nil"/>
              <w:bottom w:val="single" w:color="auto" w:sz="8" w:space="0"/>
              <w:right w:val="single" w:color="auto" w:sz="8" w:space="0"/>
            </w:tcBorders>
            <w:shd w:val="clear" w:color="auto" w:fill="auto"/>
            <w:tcMar>
              <w:left w:w="108" w:type="dxa"/>
              <w:right w:w="108" w:type="dxa"/>
            </w:tcMar>
            <w:vAlign w:val="center"/>
          </w:tcPr>
          <w:p w14:paraId="4B0720C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lang w:eastAsia="zh-CN"/>
              </w:rPr>
            </w:pPr>
            <w:r>
              <w:rPr>
                <w:rFonts w:hint="eastAsia" w:ascii="仿宋" w:hAnsi="仿宋" w:eastAsia="仿宋" w:cs="仿宋"/>
                <w:kern w:val="0"/>
                <w:sz w:val="18"/>
                <w:szCs w:val="18"/>
                <w:lang w:val="en-US" w:eastAsia="zh-CN"/>
              </w:rPr>
              <w:t>1</w:t>
            </w:r>
          </w:p>
        </w:tc>
        <w:tc>
          <w:tcPr>
            <w:tcW w:w="578" w:type="pct"/>
            <w:tcBorders>
              <w:top w:val="nil"/>
              <w:left w:val="nil"/>
              <w:bottom w:val="single" w:color="auto" w:sz="8" w:space="0"/>
              <w:right w:val="single" w:color="auto" w:sz="8" w:space="0"/>
            </w:tcBorders>
            <w:shd w:val="clear" w:color="auto" w:fill="auto"/>
            <w:tcMar>
              <w:left w:w="108" w:type="dxa"/>
              <w:right w:w="108" w:type="dxa"/>
            </w:tcMar>
            <w:vAlign w:val="center"/>
          </w:tcPr>
          <w:p w14:paraId="2DE71B1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lang w:eastAsia="zh-CN"/>
              </w:rPr>
            </w:pPr>
            <w:r>
              <w:rPr>
                <w:rFonts w:hint="eastAsia" w:ascii="仿宋" w:hAnsi="仿宋" w:eastAsia="仿宋" w:cs="仿宋"/>
                <w:kern w:val="0"/>
                <w:sz w:val="18"/>
                <w:szCs w:val="18"/>
                <w:lang w:val="en-US" w:eastAsia="zh-CN"/>
              </w:rPr>
              <w:t>1</w:t>
            </w: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3AEC9F91">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eastAsia="zh-CN"/>
              </w:rPr>
            </w:pPr>
            <w:r>
              <w:rPr>
                <w:rFonts w:hint="eastAsia" w:ascii="仿宋" w:hAnsi="仿宋" w:eastAsia="仿宋" w:cs="仿宋"/>
                <w:kern w:val="0"/>
                <w:sz w:val="18"/>
                <w:szCs w:val="18"/>
                <w:lang w:val="en-US" w:eastAsia="zh-CN"/>
              </w:rPr>
              <w:t>10</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center"/>
          </w:tcPr>
          <w:p w14:paraId="47753930">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eastAsia="zh-CN"/>
              </w:rPr>
            </w:pPr>
            <w:r>
              <w:rPr>
                <w:rFonts w:hint="eastAsia" w:ascii="仿宋" w:hAnsi="仿宋" w:eastAsia="仿宋" w:cs="仿宋"/>
                <w:kern w:val="0"/>
                <w:sz w:val="21"/>
                <w:szCs w:val="21"/>
                <w:lang w:val="en-US" w:eastAsia="zh-CN"/>
              </w:rPr>
              <w:t>10</w:t>
            </w:r>
          </w:p>
        </w:tc>
        <w:tc>
          <w:tcPr>
            <w:tcW w:w="452" w:type="pct"/>
            <w:tcBorders>
              <w:top w:val="nil"/>
              <w:left w:val="nil"/>
              <w:bottom w:val="single" w:color="auto" w:sz="8" w:space="0"/>
              <w:right w:val="single" w:color="auto" w:sz="8" w:space="0"/>
            </w:tcBorders>
            <w:shd w:val="clear" w:color="auto" w:fill="auto"/>
            <w:tcMar>
              <w:left w:w="108" w:type="dxa"/>
              <w:right w:w="108" w:type="dxa"/>
            </w:tcMar>
            <w:vAlign w:val="top"/>
          </w:tcPr>
          <w:p w14:paraId="4393D465">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p>
        </w:tc>
      </w:tr>
      <w:tr w14:paraId="36E58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382" w:hRule="atLeast"/>
          <w:jc w:val="center"/>
        </w:trPr>
        <w:tc>
          <w:tcPr>
            <w:tcW w:w="42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273DC1F">
            <w:pPr>
              <w:snapToGrid w:val="0"/>
              <w:jc w:val="center"/>
              <w:rPr>
                <w:rFonts w:hint="eastAsia" w:ascii="仿宋" w:hAnsi="仿宋" w:eastAsia="仿宋" w:cs="仿宋"/>
                <w:sz w:val="20"/>
                <w:szCs w:val="20"/>
              </w:rPr>
            </w:pPr>
          </w:p>
        </w:tc>
        <w:tc>
          <w:tcPr>
            <w:tcW w:w="383" w:type="pct"/>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3E9BC77C">
            <w:pPr>
              <w:snapToGrid w:val="0"/>
              <w:jc w:val="center"/>
              <w:rPr>
                <w:rFonts w:hint="eastAsia" w:ascii="仿宋" w:hAnsi="仿宋" w:eastAsia="仿宋" w:cs="仿宋"/>
                <w:sz w:val="20"/>
                <w:szCs w:val="20"/>
              </w:rPr>
            </w:pPr>
          </w:p>
        </w:tc>
        <w:tc>
          <w:tcPr>
            <w:tcW w:w="620" w:type="pct"/>
            <w:vMerge w:val="continue"/>
            <w:tcBorders>
              <w:left w:val="nil"/>
              <w:bottom w:val="single" w:color="auto" w:sz="8" w:space="0"/>
              <w:right w:val="single" w:color="auto" w:sz="8" w:space="0"/>
            </w:tcBorders>
            <w:shd w:val="clear" w:color="auto" w:fill="auto"/>
            <w:tcMar>
              <w:left w:w="108" w:type="dxa"/>
              <w:right w:w="108" w:type="dxa"/>
            </w:tcMar>
            <w:vAlign w:val="center"/>
          </w:tcPr>
          <w:p w14:paraId="6FE5672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511" w:type="pct"/>
            <w:tcBorders>
              <w:top w:val="nil"/>
              <w:left w:val="nil"/>
              <w:bottom w:val="single" w:color="auto" w:sz="8" w:space="0"/>
              <w:right w:val="single" w:color="auto" w:sz="8" w:space="0"/>
            </w:tcBorders>
            <w:shd w:val="clear" w:color="auto" w:fill="auto"/>
            <w:tcMar>
              <w:left w:w="108" w:type="dxa"/>
              <w:right w:w="108" w:type="dxa"/>
            </w:tcMar>
            <w:vAlign w:val="center"/>
          </w:tcPr>
          <w:p w14:paraId="58A585AF">
            <w:pPr>
              <w:keepNext w:val="0"/>
              <w:keepLines w:val="0"/>
              <w:widowControl/>
              <w:suppressLineNumbers w:val="0"/>
              <w:snapToGrid w:val="0"/>
              <w:spacing w:before="0" w:beforeAutospacing="1" w:after="0" w:afterAutospacing="1"/>
              <w:ind w:left="0" w:right="0"/>
              <w:jc w:val="center"/>
              <w:rPr>
                <w:rFonts w:hint="eastAsia" w:ascii="仿宋" w:hAnsi="仿宋" w:eastAsia="仿宋" w:cs="仿宋"/>
                <w:b w:val="0"/>
                <w:bCs/>
                <w:kern w:val="0"/>
                <w:sz w:val="18"/>
                <w:szCs w:val="18"/>
                <w:lang w:val="en-US" w:eastAsia="zh-CN"/>
              </w:rPr>
            </w:pPr>
            <w:r>
              <w:rPr>
                <w:rFonts w:hint="eastAsia" w:ascii="仿宋" w:hAnsi="仿宋" w:eastAsia="仿宋" w:cs="仿宋"/>
                <w:b w:val="0"/>
                <w:bCs/>
                <w:kern w:val="0"/>
                <w:sz w:val="18"/>
                <w:szCs w:val="18"/>
                <w:lang w:val="en-US" w:eastAsia="zh-CN"/>
              </w:rPr>
              <w:t>论文数量</w:t>
            </w:r>
          </w:p>
        </w:tc>
        <w:tc>
          <w:tcPr>
            <w:tcW w:w="608" w:type="pct"/>
            <w:tcBorders>
              <w:top w:val="nil"/>
              <w:left w:val="nil"/>
              <w:bottom w:val="single" w:color="auto" w:sz="8" w:space="0"/>
              <w:right w:val="single" w:color="auto" w:sz="8" w:space="0"/>
            </w:tcBorders>
            <w:shd w:val="clear" w:color="auto" w:fill="auto"/>
            <w:tcMar>
              <w:left w:w="108" w:type="dxa"/>
              <w:right w:w="108" w:type="dxa"/>
            </w:tcMar>
            <w:vAlign w:val="center"/>
          </w:tcPr>
          <w:p w14:paraId="1D7BD7A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w:t>
            </w:r>
          </w:p>
        </w:tc>
        <w:tc>
          <w:tcPr>
            <w:tcW w:w="578" w:type="pct"/>
            <w:tcBorders>
              <w:top w:val="nil"/>
              <w:left w:val="nil"/>
              <w:bottom w:val="single" w:color="auto" w:sz="8" w:space="0"/>
              <w:right w:val="single" w:color="auto" w:sz="8" w:space="0"/>
            </w:tcBorders>
            <w:shd w:val="clear" w:color="auto" w:fill="auto"/>
            <w:tcMar>
              <w:left w:w="108" w:type="dxa"/>
              <w:right w:w="108" w:type="dxa"/>
            </w:tcMar>
            <w:vAlign w:val="center"/>
          </w:tcPr>
          <w:p w14:paraId="7C65E26F">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w:t>
            </w: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6C1EACCB">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7</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center"/>
          </w:tcPr>
          <w:p w14:paraId="509BEBF5">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7</w:t>
            </w:r>
          </w:p>
        </w:tc>
        <w:tc>
          <w:tcPr>
            <w:tcW w:w="452" w:type="pct"/>
            <w:tcBorders>
              <w:top w:val="nil"/>
              <w:left w:val="nil"/>
              <w:bottom w:val="single" w:color="auto" w:sz="8" w:space="0"/>
              <w:right w:val="single" w:color="auto" w:sz="8" w:space="0"/>
            </w:tcBorders>
            <w:shd w:val="clear" w:color="auto" w:fill="auto"/>
            <w:tcMar>
              <w:left w:w="108" w:type="dxa"/>
              <w:right w:w="108" w:type="dxa"/>
            </w:tcMar>
            <w:vAlign w:val="top"/>
          </w:tcPr>
          <w:p w14:paraId="089B25A4">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p>
        </w:tc>
      </w:tr>
      <w:tr w14:paraId="55C6D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351" w:hRule="atLeast"/>
          <w:jc w:val="center"/>
        </w:trPr>
        <w:tc>
          <w:tcPr>
            <w:tcW w:w="42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5A2C9BC">
            <w:pPr>
              <w:snapToGrid w:val="0"/>
              <w:jc w:val="center"/>
              <w:rPr>
                <w:rFonts w:hint="eastAsia" w:ascii="仿宋" w:hAnsi="仿宋" w:eastAsia="仿宋" w:cs="仿宋"/>
                <w:sz w:val="20"/>
                <w:szCs w:val="20"/>
              </w:rPr>
            </w:pPr>
          </w:p>
        </w:tc>
        <w:tc>
          <w:tcPr>
            <w:tcW w:w="383" w:type="pct"/>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0A2609B3">
            <w:pPr>
              <w:snapToGrid w:val="0"/>
              <w:jc w:val="center"/>
              <w:rPr>
                <w:rFonts w:hint="eastAsia" w:ascii="仿宋" w:hAnsi="仿宋" w:eastAsia="仿宋" w:cs="仿宋"/>
                <w:sz w:val="20"/>
                <w:szCs w:val="20"/>
              </w:rPr>
            </w:pPr>
          </w:p>
        </w:tc>
        <w:tc>
          <w:tcPr>
            <w:tcW w:w="620" w:type="pct"/>
            <w:tcBorders>
              <w:top w:val="nil"/>
              <w:left w:val="nil"/>
              <w:bottom w:val="single" w:color="auto" w:sz="8" w:space="0"/>
              <w:right w:val="single" w:color="auto" w:sz="8" w:space="0"/>
            </w:tcBorders>
            <w:shd w:val="clear" w:color="auto" w:fill="auto"/>
            <w:tcMar>
              <w:left w:w="108" w:type="dxa"/>
              <w:right w:w="108" w:type="dxa"/>
            </w:tcMar>
            <w:vAlign w:val="center"/>
          </w:tcPr>
          <w:p w14:paraId="6EED0CE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质量指标</w:t>
            </w:r>
          </w:p>
        </w:tc>
        <w:tc>
          <w:tcPr>
            <w:tcW w:w="511" w:type="pct"/>
            <w:tcBorders>
              <w:top w:val="nil"/>
              <w:left w:val="nil"/>
              <w:bottom w:val="single" w:color="auto" w:sz="8" w:space="0"/>
              <w:right w:val="single" w:color="auto" w:sz="8" w:space="0"/>
            </w:tcBorders>
            <w:shd w:val="clear" w:color="auto" w:fill="auto"/>
            <w:tcMar>
              <w:left w:w="108" w:type="dxa"/>
              <w:right w:w="108" w:type="dxa"/>
            </w:tcMar>
            <w:vAlign w:val="center"/>
          </w:tcPr>
          <w:p w14:paraId="4F5B86C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b w:val="0"/>
                <w:bCs/>
                <w:kern w:val="0"/>
                <w:sz w:val="18"/>
                <w:szCs w:val="18"/>
                <w:lang w:val="en-US" w:eastAsia="zh-CN"/>
              </w:rPr>
              <w:t>立项率</w:t>
            </w:r>
          </w:p>
        </w:tc>
        <w:tc>
          <w:tcPr>
            <w:tcW w:w="608" w:type="pct"/>
            <w:tcBorders>
              <w:top w:val="nil"/>
              <w:left w:val="nil"/>
              <w:bottom w:val="single" w:color="auto" w:sz="8" w:space="0"/>
              <w:right w:val="single" w:color="auto" w:sz="8" w:space="0"/>
            </w:tcBorders>
            <w:shd w:val="clear" w:color="auto" w:fill="auto"/>
            <w:tcMar>
              <w:left w:w="108" w:type="dxa"/>
              <w:right w:w="108" w:type="dxa"/>
            </w:tcMar>
            <w:vAlign w:val="center"/>
          </w:tcPr>
          <w:p w14:paraId="0CAD1525">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100</w:t>
            </w:r>
          </w:p>
        </w:tc>
        <w:tc>
          <w:tcPr>
            <w:tcW w:w="578" w:type="pct"/>
            <w:tcBorders>
              <w:top w:val="nil"/>
              <w:left w:val="nil"/>
              <w:bottom w:val="single" w:color="auto" w:sz="8" w:space="0"/>
              <w:right w:val="single" w:color="auto" w:sz="8" w:space="0"/>
            </w:tcBorders>
            <w:shd w:val="clear" w:color="auto" w:fill="auto"/>
            <w:tcMar>
              <w:left w:w="108" w:type="dxa"/>
              <w:right w:w="108" w:type="dxa"/>
            </w:tcMar>
            <w:vAlign w:val="center"/>
          </w:tcPr>
          <w:p w14:paraId="2C0110BF">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100</w:t>
            </w: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17431C27">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center"/>
          </w:tcPr>
          <w:p w14:paraId="68B28898">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452" w:type="pct"/>
            <w:tcBorders>
              <w:top w:val="nil"/>
              <w:left w:val="nil"/>
              <w:bottom w:val="single" w:color="auto" w:sz="8" w:space="0"/>
              <w:right w:val="single" w:color="auto" w:sz="8" w:space="0"/>
            </w:tcBorders>
            <w:shd w:val="clear" w:color="auto" w:fill="auto"/>
            <w:tcMar>
              <w:left w:w="108" w:type="dxa"/>
              <w:right w:w="108" w:type="dxa"/>
            </w:tcMar>
            <w:vAlign w:val="top"/>
          </w:tcPr>
          <w:p w14:paraId="3AFBCDB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44C0B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402" w:hRule="atLeast"/>
          <w:jc w:val="center"/>
        </w:trPr>
        <w:tc>
          <w:tcPr>
            <w:tcW w:w="42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534BB5E">
            <w:pPr>
              <w:snapToGrid w:val="0"/>
              <w:jc w:val="center"/>
              <w:rPr>
                <w:rFonts w:hint="eastAsia" w:ascii="仿宋" w:hAnsi="仿宋" w:eastAsia="仿宋" w:cs="仿宋"/>
                <w:sz w:val="20"/>
                <w:szCs w:val="20"/>
              </w:rPr>
            </w:pPr>
          </w:p>
        </w:tc>
        <w:tc>
          <w:tcPr>
            <w:tcW w:w="383" w:type="pct"/>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10B67DB7">
            <w:pPr>
              <w:snapToGrid w:val="0"/>
              <w:jc w:val="center"/>
              <w:rPr>
                <w:rFonts w:hint="eastAsia" w:ascii="仿宋" w:hAnsi="仿宋" w:eastAsia="仿宋" w:cs="仿宋"/>
                <w:sz w:val="20"/>
                <w:szCs w:val="20"/>
              </w:rPr>
            </w:pPr>
          </w:p>
        </w:tc>
        <w:tc>
          <w:tcPr>
            <w:tcW w:w="620" w:type="pct"/>
            <w:vMerge w:val="restart"/>
            <w:tcBorders>
              <w:top w:val="nil"/>
              <w:left w:val="nil"/>
              <w:right w:val="single" w:color="auto" w:sz="8" w:space="0"/>
            </w:tcBorders>
            <w:shd w:val="clear" w:color="auto" w:fill="auto"/>
            <w:tcMar>
              <w:left w:w="108" w:type="dxa"/>
              <w:right w:w="108" w:type="dxa"/>
            </w:tcMar>
            <w:vAlign w:val="center"/>
          </w:tcPr>
          <w:p w14:paraId="5B57891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时效指标</w:t>
            </w:r>
          </w:p>
        </w:tc>
        <w:tc>
          <w:tcPr>
            <w:tcW w:w="511" w:type="pct"/>
            <w:tcBorders>
              <w:top w:val="nil"/>
              <w:left w:val="nil"/>
              <w:bottom w:val="single" w:color="auto" w:sz="8" w:space="0"/>
              <w:right w:val="single" w:color="auto" w:sz="8" w:space="0"/>
            </w:tcBorders>
            <w:shd w:val="clear" w:color="auto" w:fill="auto"/>
            <w:tcMar>
              <w:left w:w="108" w:type="dxa"/>
              <w:right w:w="108" w:type="dxa"/>
            </w:tcMar>
            <w:vAlign w:val="center"/>
          </w:tcPr>
          <w:p w14:paraId="7A27DCAC">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b w:val="0"/>
                <w:bCs/>
                <w:kern w:val="0"/>
                <w:sz w:val="18"/>
                <w:szCs w:val="18"/>
                <w:lang w:val="en-US" w:eastAsia="zh-CN"/>
              </w:rPr>
              <w:t>拨款时间</w:t>
            </w:r>
          </w:p>
        </w:tc>
        <w:tc>
          <w:tcPr>
            <w:tcW w:w="608" w:type="pct"/>
            <w:tcBorders>
              <w:top w:val="nil"/>
              <w:left w:val="nil"/>
              <w:bottom w:val="single" w:color="auto" w:sz="8" w:space="0"/>
              <w:right w:val="single" w:color="auto" w:sz="8" w:space="0"/>
            </w:tcBorders>
            <w:shd w:val="clear" w:color="auto" w:fill="auto"/>
            <w:tcMar>
              <w:left w:w="108" w:type="dxa"/>
              <w:right w:w="108" w:type="dxa"/>
            </w:tcMar>
            <w:vAlign w:val="center"/>
          </w:tcPr>
          <w:p w14:paraId="7F2B135C">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2024年</w:t>
            </w:r>
          </w:p>
        </w:tc>
        <w:tc>
          <w:tcPr>
            <w:tcW w:w="578" w:type="pct"/>
            <w:tcBorders>
              <w:top w:val="nil"/>
              <w:left w:val="nil"/>
              <w:bottom w:val="single" w:color="auto" w:sz="8" w:space="0"/>
              <w:right w:val="single" w:color="auto" w:sz="8" w:space="0"/>
            </w:tcBorders>
            <w:shd w:val="clear" w:color="auto" w:fill="auto"/>
            <w:tcMar>
              <w:left w:w="108" w:type="dxa"/>
              <w:right w:w="108" w:type="dxa"/>
            </w:tcMar>
            <w:vAlign w:val="center"/>
          </w:tcPr>
          <w:p w14:paraId="3566F452">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2024年</w:t>
            </w: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4D3D39DA">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5</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center"/>
          </w:tcPr>
          <w:p w14:paraId="5140C4B0">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5</w:t>
            </w:r>
          </w:p>
        </w:tc>
        <w:tc>
          <w:tcPr>
            <w:tcW w:w="452" w:type="pct"/>
            <w:tcBorders>
              <w:top w:val="nil"/>
              <w:left w:val="nil"/>
              <w:bottom w:val="single" w:color="auto" w:sz="8" w:space="0"/>
              <w:right w:val="single" w:color="auto" w:sz="8" w:space="0"/>
            </w:tcBorders>
            <w:shd w:val="clear" w:color="auto" w:fill="auto"/>
            <w:tcMar>
              <w:left w:w="108" w:type="dxa"/>
              <w:right w:w="108" w:type="dxa"/>
            </w:tcMar>
            <w:vAlign w:val="top"/>
          </w:tcPr>
          <w:p w14:paraId="27F1A3C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7C999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42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52E5547">
            <w:pPr>
              <w:snapToGrid w:val="0"/>
              <w:jc w:val="center"/>
              <w:rPr>
                <w:rFonts w:hint="eastAsia" w:ascii="仿宋" w:hAnsi="仿宋" w:eastAsia="仿宋" w:cs="仿宋"/>
                <w:sz w:val="20"/>
                <w:szCs w:val="20"/>
              </w:rPr>
            </w:pPr>
          </w:p>
        </w:tc>
        <w:tc>
          <w:tcPr>
            <w:tcW w:w="383" w:type="pct"/>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729B9284">
            <w:pPr>
              <w:snapToGrid w:val="0"/>
              <w:jc w:val="center"/>
              <w:rPr>
                <w:rFonts w:hint="eastAsia" w:ascii="仿宋" w:hAnsi="仿宋" w:eastAsia="仿宋" w:cs="仿宋"/>
                <w:sz w:val="20"/>
                <w:szCs w:val="20"/>
              </w:rPr>
            </w:pPr>
          </w:p>
        </w:tc>
        <w:tc>
          <w:tcPr>
            <w:tcW w:w="620" w:type="pct"/>
            <w:vMerge w:val="continue"/>
            <w:tcBorders>
              <w:left w:val="nil"/>
              <w:bottom w:val="single" w:color="auto" w:sz="8" w:space="0"/>
              <w:right w:val="single" w:color="auto" w:sz="8" w:space="0"/>
            </w:tcBorders>
            <w:shd w:val="clear" w:color="auto" w:fill="auto"/>
            <w:tcMar>
              <w:left w:w="108" w:type="dxa"/>
              <w:right w:w="108" w:type="dxa"/>
            </w:tcMar>
            <w:vAlign w:val="center"/>
          </w:tcPr>
          <w:p w14:paraId="4B8F40DF">
            <w:pPr>
              <w:snapToGrid w:val="0"/>
              <w:jc w:val="center"/>
              <w:rPr>
                <w:rFonts w:hint="eastAsia" w:ascii="仿宋" w:hAnsi="仿宋" w:eastAsia="仿宋" w:cs="仿宋"/>
                <w:sz w:val="20"/>
                <w:szCs w:val="20"/>
                <w:lang w:eastAsia="zh-CN"/>
              </w:rPr>
            </w:pPr>
          </w:p>
        </w:tc>
        <w:tc>
          <w:tcPr>
            <w:tcW w:w="511" w:type="pct"/>
            <w:tcBorders>
              <w:top w:val="nil"/>
              <w:left w:val="nil"/>
              <w:bottom w:val="single" w:color="auto" w:sz="8" w:space="0"/>
              <w:right w:val="single" w:color="auto" w:sz="8" w:space="0"/>
            </w:tcBorders>
            <w:shd w:val="clear" w:color="auto" w:fill="auto"/>
            <w:tcMar>
              <w:left w:w="108" w:type="dxa"/>
              <w:right w:w="108" w:type="dxa"/>
            </w:tcMar>
            <w:vAlign w:val="center"/>
          </w:tcPr>
          <w:p w14:paraId="400E4B62">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项目完成时间</w:t>
            </w:r>
          </w:p>
        </w:tc>
        <w:tc>
          <w:tcPr>
            <w:tcW w:w="608" w:type="pct"/>
            <w:tcBorders>
              <w:top w:val="nil"/>
              <w:left w:val="nil"/>
              <w:bottom w:val="single" w:color="auto" w:sz="8" w:space="0"/>
              <w:right w:val="single" w:color="auto" w:sz="8" w:space="0"/>
            </w:tcBorders>
            <w:shd w:val="clear" w:color="auto" w:fill="auto"/>
            <w:tcMar>
              <w:left w:w="108" w:type="dxa"/>
              <w:right w:w="108" w:type="dxa"/>
            </w:tcMar>
            <w:vAlign w:val="center"/>
          </w:tcPr>
          <w:p w14:paraId="1AA32FEB">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2025年9月</w:t>
            </w:r>
          </w:p>
        </w:tc>
        <w:tc>
          <w:tcPr>
            <w:tcW w:w="578" w:type="pct"/>
            <w:tcBorders>
              <w:top w:val="nil"/>
              <w:left w:val="nil"/>
              <w:bottom w:val="single" w:color="auto" w:sz="8" w:space="0"/>
              <w:right w:val="single" w:color="auto" w:sz="8" w:space="0"/>
            </w:tcBorders>
            <w:shd w:val="clear" w:color="auto" w:fill="auto"/>
            <w:tcMar>
              <w:left w:w="108" w:type="dxa"/>
              <w:right w:w="108" w:type="dxa"/>
            </w:tcMar>
            <w:vAlign w:val="center"/>
          </w:tcPr>
          <w:p w14:paraId="198B2057">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2025年9月</w:t>
            </w: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16CF7E72">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8</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center"/>
          </w:tcPr>
          <w:p w14:paraId="1822102F">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8</w:t>
            </w:r>
          </w:p>
        </w:tc>
        <w:tc>
          <w:tcPr>
            <w:tcW w:w="452" w:type="pct"/>
            <w:tcBorders>
              <w:top w:val="nil"/>
              <w:left w:val="nil"/>
              <w:bottom w:val="single" w:color="auto" w:sz="8" w:space="0"/>
              <w:right w:val="single" w:color="auto" w:sz="8" w:space="0"/>
            </w:tcBorders>
            <w:shd w:val="clear" w:color="auto" w:fill="auto"/>
            <w:tcMar>
              <w:left w:w="108" w:type="dxa"/>
              <w:right w:w="108" w:type="dxa"/>
            </w:tcMar>
            <w:vAlign w:val="top"/>
          </w:tcPr>
          <w:p w14:paraId="32C84346">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p>
        </w:tc>
      </w:tr>
      <w:tr w14:paraId="0CA28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42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A85A5CB">
            <w:pPr>
              <w:snapToGrid w:val="0"/>
              <w:jc w:val="center"/>
              <w:rPr>
                <w:rFonts w:hint="eastAsia" w:ascii="仿宋" w:hAnsi="仿宋" w:eastAsia="仿宋" w:cs="仿宋"/>
                <w:sz w:val="20"/>
                <w:szCs w:val="20"/>
              </w:rPr>
            </w:pPr>
          </w:p>
        </w:tc>
        <w:tc>
          <w:tcPr>
            <w:tcW w:w="383" w:type="pct"/>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7862D223">
            <w:pPr>
              <w:snapToGrid w:val="0"/>
              <w:jc w:val="center"/>
              <w:rPr>
                <w:rFonts w:hint="eastAsia" w:ascii="仿宋" w:hAnsi="仿宋" w:eastAsia="仿宋" w:cs="仿宋"/>
                <w:sz w:val="20"/>
                <w:szCs w:val="20"/>
              </w:rPr>
            </w:pPr>
          </w:p>
        </w:tc>
        <w:tc>
          <w:tcPr>
            <w:tcW w:w="620" w:type="pct"/>
            <w:tcBorders>
              <w:top w:val="nil"/>
              <w:left w:val="nil"/>
              <w:bottom w:val="single" w:color="auto" w:sz="8" w:space="0"/>
              <w:right w:val="single" w:color="auto" w:sz="8" w:space="0"/>
            </w:tcBorders>
            <w:shd w:val="clear" w:color="auto" w:fill="auto"/>
            <w:tcMar>
              <w:left w:w="108" w:type="dxa"/>
              <w:right w:w="108" w:type="dxa"/>
            </w:tcMar>
            <w:vAlign w:val="center"/>
          </w:tcPr>
          <w:p w14:paraId="78C4B0F7">
            <w:pPr>
              <w:snapToGrid w:val="0"/>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成本指标</w:t>
            </w:r>
          </w:p>
        </w:tc>
        <w:tc>
          <w:tcPr>
            <w:tcW w:w="511" w:type="pct"/>
            <w:tcBorders>
              <w:top w:val="nil"/>
              <w:left w:val="nil"/>
              <w:bottom w:val="single" w:color="auto" w:sz="8" w:space="0"/>
              <w:right w:val="single" w:color="auto" w:sz="8" w:space="0"/>
            </w:tcBorders>
            <w:shd w:val="clear" w:color="auto" w:fill="auto"/>
            <w:tcMar>
              <w:left w:w="108" w:type="dxa"/>
              <w:right w:w="108" w:type="dxa"/>
            </w:tcMar>
            <w:vAlign w:val="center"/>
          </w:tcPr>
          <w:p w14:paraId="3B4C5B93">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政府资金投入（万元）</w:t>
            </w:r>
          </w:p>
        </w:tc>
        <w:tc>
          <w:tcPr>
            <w:tcW w:w="608" w:type="pct"/>
            <w:tcBorders>
              <w:top w:val="nil"/>
              <w:left w:val="nil"/>
              <w:bottom w:val="single" w:color="auto" w:sz="8" w:space="0"/>
              <w:right w:val="single" w:color="auto" w:sz="8" w:space="0"/>
            </w:tcBorders>
            <w:shd w:val="clear" w:color="auto" w:fill="auto"/>
            <w:tcMar>
              <w:left w:w="108" w:type="dxa"/>
              <w:right w:w="108" w:type="dxa"/>
            </w:tcMar>
            <w:vAlign w:val="center"/>
          </w:tcPr>
          <w:p w14:paraId="61AE919B">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2.01</w:t>
            </w:r>
          </w:p>
        </w:tc>
        <w:tc>
          <w:tcPr>
            <w:tcW w:w="578" w:type="pct"/>
            <w:tcBorders>
              <w:top w:val="nil"/>
              <w:left w:val="nil"/>
              <w:bottom w:val="single" w:color="auto" w:sz="8" w:space="0"/>
              <w:right w:val="single" w:color="auto" w:sz="8" w:space="0"/>
            </w:tcBorders>
            <w:shd w:val="clear" w:color="auto" w:fill="auto"/>
            <w:tcMar>
              <w:left w:w="108" w:type="dxa"/>
              <w:right w:w="108" w:type="dxa"/>
            </w:tcMar>
            <w:vAlign w:val="center"/>
          </w:tcPr>
          <w:p w14:paraId="2FC085B6">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1.39</w:t>
            </w: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71CCFC22">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15</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center"/>
          </w:tcPr>
          <w:p w14:paraId="4AF2C6EF">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452" w:type="pct"/>
            <w:tcBorders>
              <w:top w:val="nil"/>
              <w:left w:val="nil"/>
              <w:bottom w:val="single" w:color="auto" w:sz="8" w:space="0"/>
              <w:right w:val="single" w:color="auto" w:sz="8" w:space="0"/>
            </w:tcBorders>
            <w:shd w:val="clear" w:color="auto" w:fill="auto"/>
            <w:tcMar>
              <w:left w:w="108" w:type="dxa"/>
              <w:right w:w="108" w:type="dxa"/>
            </w:tcMar>
            <w:vAlign w:val="center"/>
          </w:tcPr>
          <w:p w14:paraId="18188CE1">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20"/>
                <w:szCs w:val="20"/>
                <w:u w:val="none"/>
                <w:lang w:val="en-US" w:eastAsia="zh-CN"/>
              </w:rPr>
              <w:t>科研项目实施过程中部分相关费用未发生，结余资金已返还财政</w:t>
            </w:r>
          </w:p>
        </w:tc>
      </w:tr>
      <w:tr w14:paraId="4FEF7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42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2F8A4AD">
            <w:pPr>
              <w:snapToGrid w:val="0"/>
              <w:jc w:val="center"/>
              <w:rPr>
                <w:rFonts w:hint="eastAsia" w:ascii="仿宋" w:hAnsi="仿宋" w:eastAsia="仿宋" w:cs="仿宋"/>
                <w:sz w:val="20"/>
                <w:szCs w:val="20"/>
              </w:rPr>
            </w:pPr>
          </w:p>
        </w:tc>
        <w:tc>
          <w:tcPr>
            <w:tcW w:w="383" w:type="pct"/>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286878CC">
            <w:pPr>
              <w:snapToGrid w:val="0"/>
              <w:jc w:val="center"/>
              <w:rPr>
                <w:rFonts w:hint="eastAsia" w:ascii="仿宋" w:hAnsi="仿宋" w:eastAsia="仿宋" w:cs="仿宋"/>
                <w:sz w:val="20"/>
                <w:szCs w:val="20"/>
              </w:rPr>
            </w:pPr>
          </w:p>
        </w:tc>
        <w:tc>
          <w:tcPr>
            <w:tcW w:w="620" w:type="pct"/>
            <w:tcBorders>
              <w:top w:val="nil"/>
              <w:left w:val="nil"/>
              <w:bottom w:val="single" w:color="auto" w:sz="8" w:space="0"/>
              <w:right w:val="single" w:color="auto" w:sz="8" w:space="0"/>
            </w:tcBorders>
            <w:shd w:val="clear" w:color="auto" w:fill="auto"/>
            <w:tcMar>
              <w:left w:w="108" w:type="dxa"/>
              <w:right w:w="108" w:type="dxa"/>
            </w:tcMar>
            <w:vAlign w:val="center"/>
          </w:tcPr>
          <w:p w14:paraId="0BC4F91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社会效益指标</w:t>
            </w:r>
          </w:p>
        </w:tc>
        <w:tc>
          <w:tcPr>
            <w:tcW w:w="511" w:type="pct"/>
            <w:tcBorders>
              <w:top w:val="nil"/>
              <w:left w:val="nil"/>
              <w:bottom w:val="single" w:color="auto" w:sz="8" w:space="0"/>
              <w:right w:val="single" w:color="auto" w:sz="8" w:space="0"/>
            </w:tcBorders>
            <w:shd w:val="clear" w:color="auto" w:fill="auto"/>
            <w:tcMar>
              <w:left w:w="108" w:type="dxa"/>
              <w:right w:w="108" w:type="dxa"/>
            </w:tcMar>
            <w:vAlign w:val="center"/>
          </w:tcPr>
          <w:p w14:paraId="4E1E1AA8">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节约社会医疗成本</w:t>
            </w:r>
          </w:p>
        </w:tc>
        <w:tc>
          <w:tcPr>
            <w:tcW w:w="608" w:type="pct"/>
            <w:tcBorders>
              <w:top w:val="nil"/>
              <w:left w:val="nil"/>
              <w:bottom w:val="single" w:color="auto" w:sz="8" w:space="0"/>
              <w:right w:val="single" w:color="auto" w:sz="8" w:space="0"/>
            </w:tcBorders>
            <w:shd w:val="clear" w:color="auto" w:fill="auto"/>
            <w:tcMar>
              <w:left w:w="108" w:type="dxa"/>
              <w:right w:w="108" w:type="dxa"/>
            </w:tcMar>
            <w:vAlign w:val="center"/>
          </w:tcPr>
          <w:p w14:paraId="47980B56">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促进国家有限卫生资源的合理分配</w:t>
            </w:r>
          </w:p>
        </w:tc>
        <w:tc>
          <w:tcPr>
            <w:tcW w:w="578" w:type="pct"/>
            <w:tcBorders>
              <w:top w:val="nil"/>
              <w:left w:val="nil"/>
              <w:bottom w:val="single" w:color="auto" w:sz="8" w:space="0"/>
              <w:right w:val="single" w:color="auto" w:sz="8" w:space="0"/>
            </w:tcBorders>
            <w:shd w:val="clear" w:color="auto" w:fill="auto"/>
            <w:tcMar>
              <w:left w:w="108" w:type="dxa"/>
              <w:right w:w="108" w:type="dxa"/>
            </w:tcMar>
            <w:vAlign w:val="center"/>
          </w:tcPr>
          <w:p w14:paraId="15DD34FB">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lang w:val="en-US" w:eastAsia="zh-CN"/>
              </w:rPr>
              <w:t>促进国家有限卫生资源的合理分配</w:t>
            </w: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31848079">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15</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center"/>
          </w:tcPr>
          <w:p w14:paraId="2CEC63D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15</w:t>
            </w:r>
          </w:p>
        </w:tc>
        <w:tc>
          <w:tcPr>
            <w:tcW w:w="452" w:type="pct"/>
            <w:tcBorders>
              <w:top w:val="nil"/>
              <w:left w:val="nil"/>
              <w:bottom w:val="single" w:color="auto" w:sz="8" w:space="0"/>
              <w:right w:val="single" w:color="auto" w:sz="8" w:space="0"/>
            </w:tcBorders>
            <w:shd w:val="clear" w:color="auto" w:fill="auto"/>
            <w:tcMar>
              <w:left w:w="108" w:type="dxa"/>
              <w:right w:w="108" w:type="dxa"/>
            </w:tcMar>
            <w:vAlign w:val="top"/>
          </w:tcPr>
          <w:p w14:paraId="0EF71C9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33A35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42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0DB5583">
            <w:pPr>
              <w:snapToGrid w:val="0"/>
              <w:jc w:val="center"/>
              <w:rPr>
                <w:rFonts w:hint="eastAsia" w:ascii="仿宋" w:hAnsi="仿宋" w:eastAsia="仿宋" w:cs="仿宋"/>
                <w:sz w:val="20"/>
                <w:szCs w:val="20"/>
              </w:rPr>
            </w:pPr>
          </w:p>
        </w:tc>
        <w:tc>
          <w:tcPr>
            <w:tcW w:w="383" w:type="pct"/>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621DE9D9">
            <w:pPr>
              <w:snapToGrid w:val="0"/>
              <w:jc w:val="center"/>
              <w:rPr>
                <w:rFonts w:hint="eastAsia" w:ascii="仿宋" w:hAnsi="仿宋" w:eastAsia="仿宋" w:cs="仿宋"/>
                <w:sz w:val="20"/>
                <w:szCs w:val="20"/>
              </w:rPr>
            </w:pPr>
          </w:p>
        </w:tc>
        <w:tc>
          <w:tcPr>
            <w:tcW w:w="620" w:type="pct"/>
            <w:tcBorders>
              <w:top w:val="nil"/>
              <w:left w:val="nil"/>
              <w:bottom w:val="single" w:color="auto" w:sz="8" w:space="0"/>
              <w:right w:val="single" w:color="auto" w:sz="8" w:space="0"/>
            </w:tcBorders>
            <w:shd w:val="clear" w:color="auto" w:fill="auto"/>
            <w:tcMar>
              <w:left w:w="108" w:type="dxa"/>
              <w:right w:w="108" w:type="dxa"/>
            </w:tcMar>
            <w:vAlign w:val="center"/>
          </w:tcPr>
          <w:p w14:paraId="2903C7F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可持续影响 指   标</w:t>
            </w:r>
          </w:p>
        </w:tc>
        <w:tc>
          <w:tcPr>
            <w:tcW w:w="511" w:type="pct"/>
            <w:tcBorders>
              <w:top w:val="nil"/>
              <w:left w:val="nil"/>
              <w:bottom w:val="single" w:color="auto" w:sz="8" w:space="0"/>
              <w:right w:val="single" w:color="auto" w:sz="8" w:space="0"/>
            </w:tcBorders>
            <w:shd w:val="clear" w:color="auto" w:fill="auto"/>
            <w:tcMar>
              <w:left w:w="108" w:type="dxa"/>
              <w:right w:w="108" w:type="dxa"/>
            </w:tcMar>
            <w:vAlign w:val="center"/>
          </w:tcPr>
          <w:p w14:paraId="3E0B0AC4">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持续带动全社会加大研发投入</w:t>
            </w:r>
          </w:p>
        </w:tc>
        <w:tc>
          <w:tcPr>
            <w:tcW w:w="608" w:type="pct"/>
            <w:tcBorders>
              <w:top w:val="nil"/>
              <w:left w:val="nil"/>
              <w:bottom w:val="single" w:color="auto" w:sz="8" w:space="0"/>
              <w:right w:val="single" w:color="auto" w:sz="8" w:space="0"/>
            </w:tcBorders>
            <w:shd w:val="clear" w:color="auto" w:fill="auto"/>
            <w:tcMar>
              <w:left w:w="108" w:type="dxa"/>
              <w:right w:w="108" w:type="dxa"/>
            </w:tcMar>
            <w:vAlign w:val="center"/>
          </w:tcPr>
          <w:p w14:paraId="5E79556B">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引导带动全社会加大研发投入</w:t>
            </w:r>
          </w:p>
        </w:tc>
        <w:tc>
          <w:tcPr>
            <w:tcW w:w="578" w:type="pct"/>
            <w:tcBorders>
              <w:top w:val="nil"/>
              <w:left w:val="nil"/>
              <w:bottom w:val="single" w:color="auto" w:sz="8" w:space="0"/>
              <w:right w:val="single" w:color="auto" w:sz="8" w:space="0"/>
            </w:tcBorders>
            <w:shd w:val="clear" w:color="auto" w:fill="auto"/>
            <w:tcMar>
              <w:left w:w="108" w:type="dxa"/>
              <w:right w:w="108" w:type="dxa"/>
            </w:tcMar>
            <w:vAlign w:val="center"/>
          </w:tcPr>
          <w:p w14:paraId="6A2F6A27">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lang w:val="en-US" w:eastAsia="zh-CN"/>
              </w:rPr>
              <w:t>持续带动全社会加大研发投入</w:t>
            </w: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64547431">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center"/>
          </w:tcPr>
          <w:p w14:paraId="5DEF0D4D">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452" w:type="pct"/>
            <w:tcBorders>
              <w:top w:val="nil"/>
              <w:left w:val="nil"/>
              <w:bottom w:val="single" w:color="auto" w:sz="8" w:space="0"/>
              <w:right w:val="single" w:color="auto" w:sz="8" w:space="0"/>
            </w:tcBorders>
            <w:shd w:val="clear" w:color="auto" w:fill="auto"/>
            <w:tcMar>
              <w:left w:w="108" w:type="dxa"/>
              <w:right w:w="108" w:type="dxa"/>
            </w:tcMar>
            <w:vAlign w:val="top"/>
          </w:tcPr>
          <w:p w14:paraId="3A4A0E4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73034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42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06782B0">
            <w:pPr>
              <w:snapToGrid w:val="0"/>
              <w:jc w:val="center"/>
              <w:rPr>
                <w:rFonts w:hint="eastAsia" w:ascii="仿宋" w:hAnsi="仿宋" w:eastAsia="仿宋" w:cs="仿宋"/>
                <w:sz w:val="20"/>
                <w:szCs w:val="20"/>
              </w:rPr>
            </w:pPr>
          </w:p>
        </w:tc>
        <w:tc>
          <w:tcPr>
            <w:tcW w:w="383" w:type="pct"/>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99A28B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满意度 指  标（20）</w:t>
            </w:r>
          </w:p>
        </w:tc>
        <w:tc>
          <w:tcPr>
            <w:tcW w:w="620" w:type="pct"/>
            <w:tcBorders>
              <w:top w:val="nil"/>
              <w:left w:val="nil"/>
              <w:bottom w:val="single" w:color="auto" w:sz="8" w:space="0"/>
              <w:right w:val="single" w:color="auto" w:sz="8" w:space="0"/>
            </w:tcBorders>
            <w:shd w:val="clear" w:color="auto" w:fill="auto"/>
            <w:tcMar>
              <w:left w:w="108" w:type="dxa"/>
              <w:right w:w="108" w:type="dxa"/>
            </w:tcMar>
            <w:vAlign w:val="center"/>
          </w:tcPr>
          <w:p w14:paraId="2F0DDC9B">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服务对象满意度指标</w:t>
            </w:r>
          </w:p>
        </w:tc>
        <w:tc>
          <w:tcPr>
            <w:tcW w:w="511" w:type="pct"/>
            <w:tcBorders>
              <w:top w:val="nil"/>
              <w:left w:val="nil"/>
              <w:bottom w:val="single" w:color="auto" w:sz="8" w:space="0"/>
              <w:right w:val="single" w:color="auto" w:sz="8" w:space="0"/>
            </w:tcBorders>
            <w:shd w:val="clear" w:color="auto" w:fill="auto"/>
            <w:tcMar>
              <w:left w:w="108" w:type="dxa"/>
              <w:right w:w="108" w:type="dxa"/>
            </w:tcMar>
            <w:vAlign w:val="center"/>
          </w:tcPr>
          <w:p w14:paraId="49D83D1B">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rPr>
            </w:pPr>
            <w:r>
              <w:rPr>
                <w:rFonts w:hint="eastAsia" w:ascii="仿宋" w:hAnsi="仿宋" w:eastAsia="仿宋" w:cs="仿宋"/>
                <w:kern w:val="0"/>
                <w:sz w:val="18"/>
                <w:szCs w:val="18"/>
                <w:lang w:val="en-US" w:eastAsia="zh-CN"/>
              </w:rPr>
              <w:t>创新主体满意度</w:t>
            </w:r>
          </w:p>
        </w:tc>
        <w:tc>
          <w:tcPr>
            <w:tcW w:w="608" w:type="pct"/>
            <w:tcBorders>
              <w:top w:val="nil"/>
              <w:left w:val="nil"/>
              <w:bottom w:val="single" w:color="auto" w:sz="8" w:space="0"/>
              <w:right w:val="single" w:color="auto" w:sz="8" w:space="0"/>
            </w:tcBorders>
            <w:shd w:val="clear" w:color="auto" w:fill="auto"/>
            <w:tcMar>
              <w:left w:w="108" w:type="dxa"/>
              <w:right w:w="108" w:type="dxa"/>
            </w:tcMar>
            <w:vAlign w:val="center"/>
          </w:tcPr>
          <w:p w14:paraId="77452839">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90</w:t>
            </w:r>
          </w:p>
        </w:tc>
        <w:tc>
          <w:tcPr>
            <w:tcW w:w="578" w:type="pct"/>
            <w:tcBorders>
              <w:top w:val="nil"/>
              <w:left w:val="nil"/>
              <w:bottom w:val="single" w:color="auto" w:sz="8" w:space="0"/>
              <w:right w:val="single" w:color="auto" w:sz="8" w:space="0"/>
            </w:tcBorders>
            <w:shd w:val="clear" w:color="auto" w:fill="auto"/>
            <w:tcMar>
              <w:left w:w="108" w:type="dxa"/>
              <w:right w:w="108" w:type="dxa"/>
            </w:tcMar>
            <w:vAlign w:val="center"/>
          </w:tcPr>
          <w:p w14:paraId="5EA8DE97">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90</w:t>
            </w: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57AD0066">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20</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center"/>
          </w:tcPr>
          <w:p w14:paraId="4FEF2946">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20</w:t>
            </w:r>
          </w:p>
        </w:tc>
        <w:tc>
          <w:tcPr>
            <w:tcW w:w="452" w:type="pct"/>
            <w:tcBorders>
              <w:top w:val="nil"/>
              <w:left w:val="nil"/>
              <w:bottom w:val="single" w:color="auto" w:sz="8" w:space="0"/>
              <w:right w:val="single" w:color="auto" w:sz="8" w:space="0"/>
            </w:tcBorders>
            <w:shd w:val="clear" w:color="auto" w:fill="auto"/>
            <w:tcMar>
              <w:left w:w="108" w:type="dxa"/>
              <w:right w:w="108" w:type="dxa"/>
            </w:tcMar>
            <w:vAlign w:val="top"/>
          </w:tcPr>
          <w:p w14:paraId="2E28501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02FCE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475" w:hRule="atLeast"/>
          <w:jc w:val="center"/>
        </w:trPr>
        <w:tc>
          <w:tcPr>
            <w:tcW w:w="3122" w:type="pct"/>
            <w:gridSpan w:val="7"/>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3F81FA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总    分</w:t>
            </w:r>
          </w:p>
        </w:tc>
        <w:tc>
          <w:tcPr>
            <w:tcW w:w="318" w:type="pct"/>
            <w:tcBorders>
              <w:top w:val="nil"/>
              <w:left w:val="nil"/>
              <w:bottom w:val="single" w:color="auto" w:sz="8" w:space="0"/>
              <w:right w:val="single" w:color="auto" w:sz="8" w:space="0"/>
            </w:tcBorders>
            <w:shd w:val="clear" w:color="auto" w:fill="auto"/>
            <w:tcMar>
              <w:left w:w="108" w:type="dxa"/>
              <w:right w:w="108" w:type="dxa"/>
            </w:tcMar>
            <w:vAlign w:val="center"/>
          </w:tcPr>
          <w:p w14:paraId="74D1425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100</w:t>
            </w:r>
          </w:p>
        </w:tc>
        <w:tc>
          <w:tcPr>
            <w:tcW w:w="415" w:type="pct"/>
            <w:tcBorders>
              <w:top w:val="nil"/>
              <w:left w:val="nil"/>
              <w:bottom w:val="single" w:color="auto" w:sz="8" w:space="0"/>
              <w:right w:val="single" w:color="auto" w:sz="8" w:space="0"/>
            </w:tcBorders>
            <w:shd w:val="clear" w:color="auto" w:fill="auto"/>
            <w:tcMar>
              <w:left w:w="108" w:type="dxa"/>
              <w:right w:w="108" w:type="dxa"/>
            </w:tcMar>
            <w:vAlign w:val="center"/>
          </w:tcPr>
          <w:p w14:paraId="2C80FDA3">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95</w:t>
            </w:r>
          </w:p>
        </w:tc>
        <w:tc>
          <w:tcPr>
            <w:tcW w:w="452" w:type="pct"/>
            <w:tcBorders>
              <w:top w:val="nil"/>
              <w:left w:val="nil"/>
              <w:bottom w:val="single" w:color="auto" w:sz="8" w:space="0"/>
              <w:right w:val="single" w:color="auto" w:sz="8" w:space="0"/>
            </w:tcBorders>
            <w:shd w:val="clear" w:color="auto" w:fill="auto"/>
            <w:tcMar>
              <w:left w:w="108" w:type="dxa"/>
              <w:right w:w="108" w:type="dxa"/>
            </w:tcMar>
            <w:vAlign w:val="center"/>
          </w:tcPr>
          <w:p w14:paraId="14CA7F2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p>
        </w:tc>
      </w:tr>
    </w:tbl>
    <w:p w14:paraId="57A62568"/>
    <w:p w14:paraId="49F72CF0"/>
    <w:p w14:paraId="63758193"/>
    <w:tbl>
      <w:tblPr>
        <w:tblStyle w:val="18"/>
        <w:tblW w:w="593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995"/>
        <w:gridCol w:w="492"/>
        <w:gridCol w:w="414"/>
        <w:gridCol w:w="1466"/>
        <w:gridCol w:w="1503"/>
        <w:gridCol w:w="1440"/>
        <w:gridCol w:w="1320"/>
        <w:gridCol w:w="761"/>
        <w:gridCol w:w="709"/>
        <w:gridCol w:w="1014"/>
      </w:tblGrid>
      <w:tr w14:paraId="6BB6C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90" w:hRule="atLeast"/>
          <w:jc w:val="center"/>
        </w:trPr>
        <w:tc>
          <w:tcPr>
            <w:tcW w:w="5000" w:type="pct"/>
            <w:gridSpan w:val="10"/>
            <w:tcBorders>
              <w:top w:val="nil"/>
              <w:left w:val="nil"/>
              <w:bottom w:val="nil"/>
              <w:right w:val="nil"/>
            </w:tcBorders>
            <w:shd w:val="clear" w:color="auto" w:fill="auto"/>
            <w:tcMar>
              <w:left w:w="108" w:type="dxa"/>
              <w:right w:w="108" w:type="dxa"/>
            </w:tcMar>
            <w:vAlign w:val="center"/>
          </w:tcPr>
          <w:p w14:paraId="17FCF6F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8"/>
                <w:szCs w:val="28"/>
              </w:rPr>
            </w:pPr>
            <w:r>
              <w:rPr>
                <w:rFonts w:hint="eastAsia" w:ascii="仿宋" w:hAnsi="仿宋" w:eastAsia="仿宋" w:cs="仿宋"/>
                <w:spacing w:val="20"/>
                <w:kern w:val="0"/>
                <w:sz w:val="28"/>
                <w:szCs w:val="28"/>
              </w:rPr>
              <w:t>项目支出绩效自评表</w:t>
            </w:r>
          </w:p>
        </w:tc>
      </w:tr>
      <w:tr w14:paraId="43111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371" w:hRule="atLeast"/>
          <w:jc w:val="center"/>
        </w:trPr>
        <w:tc>
          <w:tcPr>
            <w:tcW w:w="5000" w:type="pct"/>
            <w:gridSpan w:val="10"/>
            <w:tcBorders>
              <w:top w:val="nil"/>
              <w:left w:val="nil"/>
              <w:bottom w:val="nil"/>
              <w:right w:val="nil"/>
            </w:tcBorders>
            <w:shd w:val="clear" w:color="auto" w:fill="auto"/>
            <w:tcMar>
              <w:left w:w="108" w:type="dxa"/>
              <w:right w:w="108" w:type="dxa"/>
            </w:tcMar>
            <w:vAlign w:val="top"/>
          </w:tcPr>
          <w:p w14:paraId="2D1A4090">
            <w:pPr>
              <w:keepNext w:val="0"/>
              <w:keepLines w:val="0"/>
              <w:widowControl/>
              <w:suppressLineNumbers w:val="0"/>
              <w:snapToGrid w:val="0"/>
              <w:spacing w:before="0" w:beforeAutospacing="0" w:after="0" w:afterAutospacing="0"/>
              <w:ind w:left="0" w:right="0"/>
              <w:jc w:val="center"/>
              <w:rPr>
                <w:rFonts w:hint="eastAsia" w:ascii="仿宋" w:hAnsi="仿宋" w:eastAsia="仿宋" w:cs="仿宋"/>
                <w:kern w:val="0"/>
                <w:sz w:val="28"/>
                <w:szCs w:val="28"/>
              </w:rPr>
            </w:pPr>
            <w:r>
              <w:rPr>
                <w:rFonts w:hint="eastAsia" w:ascii="仿宋" w:hAnsi="仿宋" w:eastAsia="仿宋" w:cs="仿宋"/>
                <w:kern w:val="0"/>
                <w:sz w:val="28"/>
                <w:szCs w:val="28"/>
              </w:rPr>
              <w:t>（202</w:t>
            </w:r>
            <w:r>
              <w:rPr>
                <w:rFonts w:hint="eastAsia" w:ascii="仿宋" w:hAnsi="仿宋" w:eastAsia="仿宋" w:cs="仿宋"/>
                <w:kern w:val="0"/>
                <w:sz w:val="28"/>
                <w:szCs w:val="28"/>
                <w:lang w:val="en-US" w:eastAsia="zh-CN"/>
              </w:rPr>
              <w:t>5</w:t>
            </w:r>
            <w:r>
              <w:rPr>
                <w:rFonts w:hint="eastAsia" w:ascii="仿宋" w:hAnsi="仿宋" w:eastAsia="仿宋" w:cs="仿宋"/>
                <w:kern w:val="0"/>
                <w:sz w:val="28"/>
                <w:szCs w:val="28"/>
              </w:rPr>
              <w:t>年度）</w:t>
            </w:r>
          </w:p>
        </w:tc>
      </w:tr>
      <w:tr w14:paraId="36AEE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466" w:hRule="atLeast"/>
          <w:jc w:val="center"/>
        </w:trPr>
        <w:tc>
          <w:tcPr>
            <w:tcW w:w="735" w:type="pct"/>
            <w:gridSpan w:val="2"/>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145DE68">
            <w:pPr>
              <w:keepNext w:val="0"/>
              <w:keepLines w:val="0"/>
              <w:widowControl/>
              <w:suppressLineNumbers w:val="0"/>
              <w:snapToGrid w:val="0"/>
              <w:spacing w:before="0" w:beforeAutospacing="1" w:after="0" w:afterAutospacing="1"/>
              <w:ind w:left="0" w:right="0"/>
              <w:jc w:val="center"/>
              <w:rPr>
                <w:rFonts w:hint="eastAsia" w:ascii="宋体" w:hAnsi="宋体" w:eastAsia="宋体" w:cs="宋体"/>
                <w:kern w:val="0"/>
                <w:sz w:val="24"/>
                <w:szCs w:val="24"/>
              </w:rPr>
            </w:pPr>
            <w:r>
              <w:rPr>
                <w:rFonts w:hint="eastAsia" w:ascii="仿宋" w:hAnsi="仿宋" w:eastAsia="仿宋" w:cs="仿宋"/>
                <w:kern w:val="0"/>
                <w:sz w:val="21"/>
                <w:szCs w:val="21"/>
              </w:rPr>
              <w:t>项目名称</w:t>
            </w:r>
          </w:p>
        </w:tc>
        <w:tc>
          <w:tcPr>
            <w:tcW w:w="4264" w:type="pct"/>
            <w:gridSpan w:val="8"/>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E6190E1">
            <w:pPr>
              <w:keepNext w:val="0"/>
              <w:keepLines w:val="0"/>
              <w:widowControl/>
              <w:suppressLineNumbers w:val="0"/>
              <w:snapToGrid w:val="0"/>
              <w:spacing w:before="0" w:beforeAutospacing="1" w:after="0" w:afterAutospacing="1"/>
              <w:ind w:left="0" w:right="0"/>
              <w:jc w:val="center"/>
              <w:rPr>
                <w:rFonts w:hint="eastAsia" w:ascii="宋体" w:hAnsi="宋体" w:eastAsia="宋体" w:cs="宋体"/>
                <w:kern w:val="0"/>
                <w:sz w:val="24"/>
                <w:szCs w:val="24"/>
              </w:rPr>
            </w:pPr>
            <w:r>
              <w:rPr>
                <w:rFonts w:hint="eastAsia" w:ascii="仿宋" w:hAnsi="仿宋" w:eastAsia="仿宋" w:cs="仿宋"/>
                <w:color w:val="000000"/>
                <w:kern w:val="0"/>
                <w:sz w:val="21"/>
                <w:szCs w:val="21"/>
              </w:rPr>
              <w:t>重大传染病防控经费</w:t>
            </w:r>
          </w:p>
        </w:tc>
      </w:tr>
      <w:tr w14:paraId="0EEFF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35" w:type="pct"/>
            <w:gridSpan w:val="2"/>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E636AD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主管部门</w:t>
            </w:r>
          </w:p>
        </w:tc>
        <w:tc>
          <w:tcPr>
            <w:tcW w:w="2384" w:type="pct"/>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2B57E45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呼伦贝尔市卫生健康委员会</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center"/>
          </w:tcPr>
          <w:p w14:paraId="2DEA1BA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实施单位</w:t>
            </w:r>
          </w:p>
        </w:tc>
        <w:tc>
          <w:tcPr>
            <w:tcW w:w="1228" w:type="pct"/>
            <w:gridSpan w:val="3"/>
            <w:tcBorders>
              <w:top w:val="nil"/>
              <w:left w:val="nil"/>
              <w:bottom w:val="single" w:color="auto" w:sz="8" w:space="0"/>
              <w:right w:val="single" w:color="auto" w:sz="8" w:space="0"/>
            </w:tcBorders>
            <w:shd w:val="clear" w:color="auto" w:fill="auto"/>
            <w:tcMar>
              <w:left w:w="108" w:type="dxa"/>
              <w:right w:w="108" w:type="dxa"/>
            </w:tcMar>
            <w:vAlign w:val="top"/>
          </w:tcPr>
          <w:p w14:paraId="513DE610">
            <w:pPr>
              <w:keepNext w:val="0"/>
              <w:keepLines w:val="0"/>
              <w:widowControl/>
              <w:suppressLineNumbers w:val="0"/>
              <w:snapToGrid w:val="0"/>
              <w:spacing w:before="0" w:beforeAutospacing="1" w:after="0" w:afterAutospacing="1"/>
              <w:ind w:left="0" w:right="0"/>
              <w:rPr>
                <w:rFonts w:hint="eastAsia" w:ascii="仿宋" w:hAnsi="仿宋" w:eastAsia="仿宋" w:cs="仿宋"/>
                <w:kern w:val="0"/>
                <w:sz w:val="24"/>
                <w:szCs w:val="24"/>
                <w:lang w:eastAsia="zh-CN"/>
              </w:rPr>
            </w:pPr>
            <w:r>
              <w:rPr>
                <w:rFonts w:hint="eastAsia" w:ascii="仿宋" w:hAnsi="仿宋" w:eastAsia="仿宋" w:cs="仿宋"/>
                <w:kern w:val="0"/>
                <w:sz w:val="18"/>
                <w:szCs w:val="18"/>
              </w:rPr>
              <w:t>呼伦贝尔市</w:t>
            </w:r>
            <w:r>
              <w:rPr>
                <w:rFonts w:hint="eastAsia" w:ascii="仿宋" w:hAnsi="仿宋" w:eastAsia="仿宋" w:cs="仿宋"/>
                <w:kern w:val="0"/>
                <w:sz w:val="18"/>
                <w:szCs w:val="18"/>
                <w:lang w:val="en-US" w:eastAsia="zh-CN"/>
              </w:rPr>
              <w:t>第二人民</w:t>
            </w:r>
            <w:r>
              <w:rPr>
                <w:rFonts w:hint="eastAsia" w:ascii="仿宋" w:hAnsi="仿宋" w:eastAsia="仿宋" w:cs="仿宋"/>
                <w:kern w:val="0"/>
                <w:sz w:val="18"/>
                <w:szCs w:val="18"/>
              </w:rPr>
              <w:t>医院</w:t>
            </w:r>
            <w:r>
              <w:rPr>
                <w:rFonts w:hint="eastAsia" w:ascii="仿宋" w:hAnsi="仿宋" w:eastAsia="仿宋" w:cs="仿宋"/>
                <w:kern w:val="0"/>
                <w:sz w:val="18"/>
                <w:szCs w:val="18"/>
                <w:lang w:val="en-US" w:eastAsia="zh-CN"/>
              </w:rPr>
              <w:t xml:space="preserve"> </w:t>
            </w:r>
            <w:r>
              <w:rPr>
                <w:rFonts w:hint="eastAsia" w:ascii="仿宋" w:hAnsi="仿宋" w:eastAsia="仿宋" w:cs="仿宋"/>
                <w:kern w:val="0"/>
                <w:sz w:val="18"/>
                <w:szCs w:val="18"/>
                <w:lang w:eastAsia="zh-CN"/>
              </w:rPr>
              <w:t>（</w:t>
            </w:r>
            <w:r>
              <w:rPr>
                <w:rFonts w:hint="eastAsia" w:ascii="仿宋" w:hAnsi="仿宋" w:eastAsia="仿宋" w:cs="仿宋"/>
                <w:kern w:val="0"/>
                <w:sz w:val="18"/>
                <w:szCs w:val="18"/>
                <w:lang w:val="en-US" w:eastAsia="zh-CN"/>
              </w:rPr>
              <w:t>呼伦贝尔市传染病医院</w:t>
            </w:r>
            <w:r>
              <w:rPr>
                <w:rFonts w:hint="eastAsia" w:ascii="仿宋" w:hAnsi="仿宋" w:eastAsia="仿宋" w:cs="仿宋"/>
                <w:kern w:val="0"/>
                <w:sz w:val="18"/>
                <w:szCs w:val="18"/>
                <w:lang w:eastAsia="zh-CN"/>
              </w:rPr>
              <w:t>）</w:t>
            </w:r>
          </w:p>
        </w:tc>
      </w:tr>
      <w:tr w14:paraId="74AFF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35" w:type="pct"/>
            <w:gridSpan w:val="2"/>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6A6D49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 xml:space="preserve">项目资金 </w:t>
            </w:r>
            <w:r>
              <w:rPr>
                <w:rFonts w:hint="eastAsia" w:ascii="仿宋" w:hAnsi="仿宋" w:eastAsia="仿宋" w:cs="仿宋"/>
                <w:kern w:val="0"/>
                <w:sz w:val="18"/>
                <w:szCs w:val="18"/>
                <w:lang w:val="en-US" w:eastAsia="zh-CN"/>
              </w:rPr>
              <w:t xml:space="preserve">   </w:t>
            </w:r>
            <w:r>
              <w:rPr>
                <w:rFonts w:hint="eastAsia" w:ascii="仿宋" w:hAnsi="仿宋" w:eastAsia="仿宋" w:cs="仿宋"/>
                <w:kern w:val="0"/>
                <w:sz w:val="18"/>
                <w:szCs w:val="18"/>
              </w:rPr>
              <w:t>（万元）</w:t>
            </w:r>
          </w:p>
        </w:tc>
        <w:tc>
          <w:tcPr>
            <w:tcW w:w="929" w:type="pct"/>
            <w:gridSpan w:val="2"/>
            <w:tcBorders>
              <w:top w:val="nil"/>
              <w:left w:val="nil"/>
              <w:bottom w:val="single" w:color="auto" w:sz="8" w:space="0"/>
              <w:right w:val="single" w:color="auto" w:sz="8" w:space="0"/>
            </w:tcBorders>
            <w:shd w:val="clear" w:color="auto" w:fill="auto"/>
            <w:tcMar>
              <w:left w:w="108" w:type="dxa"/>
              <w:right w:w="108" w:type="dxa"/>
            </w:tcMar>
            <w:vAlign w:val="top"/>
          </w:tcPr>
          <w:p w14:paraId="49324251">
            <w:pPr>
              <w:keepNext w:val="0"/>
              <w:keepLines w:val="0"/>
              <w:widowControl/>
              <w:suppressLineNumbers w:val="0"/>
              <w:snapToGrid w:val="0"/>
              <w:spacing w:before="0" w:beforeAutospacing="1" w:after="0" w:afterAutospacing="1"/>
              <w:ind w:left="0" w:right="0"/>
              <w:rPr>
                <w:rFonts w:hint="eastAsia" w:ascii="仿宋" w:hAnsi="仿宋" w:eastAsia="仿宋" w:cs="仿宋"/>
                <w:kern w:val="0"/>
                <w:sz w:val="24"/>
                <w:szCs w:val="24"/>
              </w:rPr>
            </w:pPr>
            <w:r>
              <w:rPr>
                <w:rFonts w:hint="eastAsia" w:ascii="仿宋" w:hAnsi="仿宋" w:eastAsia="仿宋" w:cs="仿宋"/>
                <w:kern w:val="0"/>
                <w:sz w:val="18"/>
                <w:szCs w:val="18"/>
              </w:rPr>
              <w:t>　</w:t>
            </w:r>
          </w:p>
        </w:tc>
        <w:tc>
          <w:tcPr>
            <w:tcW w:w="743" w:type="pct"/>
            <w:tcBorders>
              <w:top w:val="nil"/>
              <w:left w:val="nil"/>
              <w:bottom w:val="single" w:color="auto" w:sz="8" w:space="0"/>
              <w:right w:val="single" w:color="auto" w:sz="8" w:space="0"/>
            </w:tcBorders>
            <w:shd w:val="clear" w:color="auto" w:fill="auto"/>
            <w:tcMar>
              <w:left w:w="108" w:type="dxa"/>
              <w:right w:w="108" w:type="dxa"/>
            </w:tcMar>
            <w:vAlign w:val="center"/>
          </w:tcPr>
          <w:p w14:paraId="79AA717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年初预算数</w:t>
            </w:r>
          </w:p>
        </w:tc>
        <w:tc>
          <w:tcPr>
            <w:tcW w:w="711" w:type="pct"/>
            <w:tcBorders>
              <w:top w:val="nil"/>
              <w:left w:val="nil"/>
              <w:bottom w:val="single" w:color="auto" w:sz="8" w:space="0"/>
              <w:right w:val="single" w:color="auto" w:sz="8" w:space="0"/>
            </w:tcBorders>
            <w:shd w:val="clear" w:color="auto" w:fill="auto"/>
            <w:tcMar>
              <w:left w:w="108" w:type="dxa"/>
              <w:right w:w="108" w:type="dxa"/>
            </w:tcMar>
            <w:vAlign w:val="center"/>
          </w:tcPr>
          <w:p w14:paraId="08842DC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全年预算数</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center"/>
          </w:tcPr>
          <w:p w14:paraId="4D82DC8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全年执行数</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00F6C33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分值</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center"/>
          </w:tcPr>
          <w:p w14:paraId="664FEA8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执行率</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center"/>
          </w:tcPr>
          <w:p w14:paraId="20068C9B">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得分</w:t>
            </w:r>
          </w:p>
        </w:tc>
      </w:tr>
      <w:tr w14:paraId="50333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735" w:type="pct"/>
            <w:gridSpan w:val="2"/>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1023323">
            <w:pPr>
              <w:snapToGrid w:val="0"/>
              <w:rPr>
                <w:rFonts w:hint="eastAsia" w:ascii="仿宋" w:hAnsi="仿宋" w:eastAsia="仿宋" w:cs="仿宋"/>
                <w:sz w:val="20"/>
                <w:szCs w:val="20"/>
              </w:rPr>
            </w:pPr>
          </w:p>
        </w:tc>
        <w:tc>
          <w:tcPr>
            <w:tcW w:w="929" w:type="pct"/>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269B355">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年度资金总额</w:t>
            </w:r>
          </w:p>
        </w:tc>
        <w:tc>
          <w:tcPr>
            <w:tcW w:w="743" w:type="pct"/>
            <w:tcBorders>
              <w:top w:val="nil"/>
              <w:left w:val="nil"/>
              <w:bottom w:val="single" w:color="auto" w:sz="8" w:space="0"/>
              <w:right w:val="single" w:color="auto" w:sz="8" w:space="0"/>
            </w:tcBorders>
            <w:shd w:val="clear" w:color="auto" w:fill="auto"/>
            <w:tcMar>
              <w:left w:w="108" w:type="dxa"/>
              <w:right w:w="108" w:type="dxa"/>
            </w:tcMar>
            <w:vAlign w:val="center"/>
          </w:tcPr>
          <w:p w14:paraId="13FDE48C">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0.49</w:t>
            </w:r>
          </w:p>
        </w:tc>
        <w:tc>
          <w:tcPr>
            <w:tcW w:w="711" w:type="pct"/>
            <w:tcBorders>
              <w:top w:val="nil"/>
              <w:left w:val="nil"/>
              <w:bottom w:val="single" w:color="auto" w:sz="8" w:space="0"/>
              <w:right w:val="single" w:color="auto" w:sz="8" w:space="0"/>
            </w:tcBorders>
            <w:shd w:val="clear" w:color="auto" w:fill="auto"/>
            <w:tcMar>
              <w:left w:w="108" w:type="dxa"/>
              <w:right w:w="108" w:type="dxa"/>
            </w:tcMar>
            <w:vAlign w:val="center"/>
          </w:tcPr>
          <w:p w14:paraId="541BB395">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eastAsia="zh-CN"/>
              </w:rPr>
            </w:pPr>
            <w:r>
              <w:rPr>
                <w:rFonts w:hint="eastAsia" w:ascii="仿宋" w:hAnsi="仿宋" w:eastAsia="仿宋" w:cs="仿宋"/>
                <w:kern w:val="0"/>
                <w:sz w:val="18"/>
                <w:szCs w:val="18"/>
                <w:lang w:val="en-US" w:eastAsia="zh-CN"/>
              </w:rPr>
              <w:t>0.49</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center"/>
          </w:tcPr>
          <w:p w14:paraId="02CB0540">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eastAsia="zh-CN"/>
              </w:rPr>
            </w:pPr>
            <w:r>
              <w:rPr>
                <w:rFonts w:hint="eastAsia" w:ascii="仿宋" w:hAnsi="仿宋" w:eastAsia="仿宋" w:cs="仿宋"/>
                <w:kern w:val="0"/>
                <w:sz w:val="18"/>
                <w:szCs w:val="18"/>
                <w:lang w:val="en-US" w:eastAsia="zh-CN"/>
              </w:rPr>
              <w:t>0.49</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16B7BB2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10</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center"/>
          </w:tcPr>
          <w:p w14:paraId="6CBDF24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lang w:val="en-US" w:eastAsia="zh-CN"/>
              </w:rPr>
              <w:t>100</w:t>
            </w:r>
            <w:r>
              <w:rPr>
                <w:rFonts w:hint="eastAsia" w:ascii="仿宋" w:hAnsi="仿宋" w:eastAsia="仿宋" w:cs="仿宋"/>
                <w:kern w:val="0"/>
                <w:sz w:val="18"/>
                <w:szCs w:val="18"/>
              </w:rPr>
              <w:t>%</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center"/>
          </w:tcPr>
          <w:p w14:paraId="0C622D57">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rPr>
            </w:pPr>
            <w:r>
              <w:rPr>
                <w:rFonts w:hint="eastAsia" w:ascii="仿宋" w:hAnsi="仿宋" w:eastAsia="仿宋" w:cs="仿宋"/>
                <w:kern w:val="0"/>
                <w:sz w:val="18"/>
                <w:szCs w:val="18"/>
                <w:lang w:val="en-US" w:eastAsia="zh-CN"/>
              </w:rPr>
              <w:t>10</w:t>
            </w:r>
          </w:p>
        </w:tc>
      </w:tr>
      <w:tr w14:paraId="48CA6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735" w:type="pct"/>
            <w:gridSpan w:val="2"/>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B4C9518">
            <w:pPr>
              <w:snapToGrid w:val="0"/>
              <w:rPr>
                <w:rFonts w:hint="eastAsia" w:ascii="仿宋" w:hAnsi="仿宋" w:eastAsia="仿宋" w:cs="仿宋"/>
                <w:sz w:val="20"/>
                <w:szCs w:val="20"/>
              </w:rPr>
            </w:pPr>
          </w:p>
        </w:tc>
        <w:tc>
          <w:tcPr>
            <w:tcW w:w="929" w:type="pct"/>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FD8DAA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其中：财政拨款</w:t>
            </w:r>
          </w:p>
        </w:tc>
        <w:tc>
          <w:tcPr>
            <w:tcW w:w="743" w:type="pct"/>
            <w:tcBorders>
              <w:top w:val="nil"/>
              <w:left w:val="nil"/>
              <w:bottom w:val="single" w:color="auto" w:sz="8" w:space="0"/>
              <w:right w:val="single" w:color="auto" w:sz="8" w:space="0"/>
            </w:tcBorders>
            <w:shd w:val="clear" w:color="auto" w:fill="auto"/>
            <w:tcMar>
              <w:left w:w="108" w:type="dxa"/>
              <w:right w:w="108" w:type="dxa"/>
            </w:tcMar>
            <w:vAlign w:val="center"/>
          </w:tcPr>
          <w:p w14:paraId="1CD8B193">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0.49</w:t>
            </w:r>
          </w:p>
        </w:tc>
        <w:tc>
          <w:tcPr>
            <w:tcW w:w="711" w:type="pct"/>
            <w:tcBorders>
              <w:top w:val="nil"/>
              <w:left w:val="nil"/>
              <w:bottom w:val="single" w:color="auto" w:sz="8" w:space="0"/>
              <w:right w:val="single" w:color="auto" w:sz="8" w:space="0"/>
            </w:tcBorders>
            <w:shd w:val="clear" w:color="auto" w:fill="auto"/>
            <w:tcMar>
              <w:left w:w="108" w:type="dxa"/>
              <w:right w:w="108" w:type="dxa"/>
            </w:tcMar>
            <w:vAlign w:val="center"/>
          </w:tcPr>
          <w:p w14:paraId="2970A1CF">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rPr>
            </w:pPr>
            <w:r>
              <w:rPr>
                <w:rFonts w:hint="eastAsia" w:ascii="仿宋" w:hAnsi="仿宋" w:eastAsia="仿宋" w:cs="仿宋"/>
                <w:kern w:val="0"/>
                <w:sz w:val="18"/>
                <w:szCs w:val="18"/>
                <w:lang w:val="en-US" w:eastAsia="zh-CN"/>
              </w:rPr>
              <w:t>0.49</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center"/>
          </w:tcPr>
          <w:p w14:paraId="27E7030F">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eastAsia="zh-CN"/>
              </w:rPr>
            </w:pPr>
            <w:r>
              <w:rPr>
                <w:rFonts w:hint="eastAsia" w:ascii="仿宋" w:hAnsi="仿宋" w:eastAsia="仿宋" w:cs="仿宋"/>
                <w:kern w:val="0"/>
                <w:sz w:val="18"/>
                <w:szCs w:val="18"/>
                <w:lang w:val="en-US" w:eastAsia="zh-CN"/>
              </w:rPr>
              <w:t>0.49</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1D4FB0D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center"/>
          </w:tcPr>
          <w:p w14:paraId="1E57DBD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lang w:val="en-US" w:eastAsia="zh-CN"/>
              </w:rPr>
              <w:t>100</w:t>
            </w:r>
            <w:r>
              <w:rPr>
                <w:rFonts w:hint="eastAsia" w:ascii="仿宋" w:hAnsi="仿宋" w:eastAsia="仿宋" w:cs="仿宋"/>
                <w:kern w:val="0"/>
                <w:sz w:val="18"/>
                <w:szCs w:val="18"/>
              </w:rPr>
              <w:t>%</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center"/>
          </w:tcPr>
          <w:p w14:paraId="1E57E89F">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w:t>
            </w:r>
          </w:p>
        </w:tc>
      </w:tr>
      <w:tr w14:paraId="7FBA8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735" w:type="pct"/>
            <w:gridSpan w:val="2"/>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7FE3A0E">
            <w:pPr>
              <w:snapToGrid w:val="0"/>
              <w:rPr>
                <w:rFonts w:hint="eastAsia" w:ascii="仿宋" w:hAnsi="仿宋" w:eastAsia="仿宋" w:cs="仿宋"/>
                <w:sz w:val="20"/>
                <w:szCs w:val="20"/>
              </w:rPr>
            </w:pPr>
          </w:p>
        </w:tc>
        <w:tc>
          <w:tcPr>
            <w:tcW w:w="929" w:type="pct"/>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DCE5D9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其他资金</w:t>
            </w:r>
          </w:p>
        </w:tc>
        <w:tc>
          <w:tcPr>
            <w:tcW w:w="743" w:type="pct"/>
            <w:tcBorders>
              <w:top w:val="nil"/>
              <w:left w:val="nil"/>
              <w:bottom w:val="single" w:color="auto" w:sz="8" w:space="0"/>
              <w:right w:val="single" w:color="auto" w:sz="8" w:space="0"/>
            </w:tcBorders>
            <w:shd w:val="clear" w:color="auto" w:fill="auto"/>
            <w:tcMar>
              <w:left w:w="108" w:type="dxa"/>
              <w:right w:w="108" w:type="dxa"/>
            </w:tcMar>
            <w:vAlign w:val="top"/>
          </w:tcPr>
          <w:p w14:paraId="2B3ED8B6">
            <w:pPr>
              <w:keepNext w:val="0"/>
              <w:keepLines w:val="0"/>
              <w:widowControl/>
              <w:suppressLineNumbers w:val="0"/>
              <w:snapToGrid w:val="0"/>
              <w:spacing w:before="0" w:beforeAutospacing="1" w:after="0" w:afterAutospacing="1"/>
              <w:ind w:left="0" w:right="0"/>
              <w:rPr>
                <w:rFonts w:hint="eastAsia" w:ascii="仿宋" w:hAnsi="仿宋" w:eastAsia="仿宋" w:cs="仿宋"/>
                <w:kern w:val="0"/>
                <w:sz w:val="24"/>
                <w:szCs w:val="24"/>
              </w:rPr>
            </w:pPr>
            <w:r>
              <w:rPr>
                <w:rFonts w:hint="eastAsia" w:ascii="仿宋" w:hAnsi="仿宋" w:eastAsia="仿宋" w:cs="仿宋"/>
                <w:kern w:val="0"/>
                <w:sz w:val="18"/>
                <w:szCs w:val="18"/>
              </w:rPr>
              <w:t>　</w:t>
            </w:r>
          </w:p>
        </w:tc>
        <w:tc>
          <w:tcPr>
            <w:tcW w:w="711" w:type="pct"/>
            <w:tcBorders>
              <w:top w:val="nil"/>
              <w:left w:val="nil"/>
              <w:bottom w:val="single" w:color="auto" w:sz="8" w:space="0"/>
              <w:right w:val="single" w:color="auto" w:sz="8" w:space="0"/>
            </w:tcBorders>
            <w:shd w:val="clear" w:color="auto" w:fill="auto"/>
            <w:tcMar>
              <w:left w:w="108" w:type="dxa"/>
              <w:right w:w="108" w:type="dxa"/>
            </w:tcMar>
            <w:vAlign w:val="top"/>
          </w:tcPr>
          <w:p w14:paraId="0AA22E39">
            <w:pPr>
              <w:keepNext w:val="0"/>
              <w:keepLines w:val="0"/>
              <w:widowControl/>
              <w:suppressLineNumbers w:val="0"/>
              <w:snapToGrid w:val="0"/>
              <w:spacing w:before="0" w:beforeAutospacing="1" w:after="0" w:afterAutospacing="1"/>
              <w:ind w:left="0" w:right="0"/>
              <w:rPr>
                <w:rFonts w:hint="eastAsia" w:ascii="仿宋" w:hAnsi="仿宋" w:eastAsia="仿宋" w:cs="仿宋"/>
                <w:kern w:val="0"/>
                <w:sz w:val="24"/>
                <w:szCs w:val="24"/>
              </w:rPr>
            </w:pPr>
            <w:r>
              <w:rPr>
                <w:rFonts w:hint="eastAsia" w:ascii="仿宋" w:hAnsi="仿宋" w:eastAsia="仿宋" w:cs="仿宋"/>
                <w:kern w:val="0"/>
                <w:sz w:val="18"/>
                <w:szCs w:val="18"/>
              </w:rPr>
              <w:t>　</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top"/>
          </w:tcPr>
          <w:p w14:paraId="6C037C35">
            <w:pPr>
              <w:keepNext w:val="0"/>
              <w:keepLines w:val="0"/>
              <w:widowControl/>
              <w:suppressLineNumbers w:val="0"/>
              <w:snapToGrid w:val="0"/>
              <w:spacing w:before="0" w:beforeAutospacing="1" w:after="0" w:afterAutospacing="1"/>
              <w:ind w:left="0" w:right="0"/>
              <w:rPr>
                <w:rFonts w:hint="eastAsia" w:ascii="仿宋" w:hAnsi="仿宋" w:eastAsia="仿宋" w:cs="仿宋"/>
                <w:kern w:val="0"/>
                <w:sz w:val="24"/>
                <w:szCs w:val="24"/>
              </w:rPr>
            </w:pPr>
            <w:r>
              <w:rPr>
                <w:rFonts w:hint="eastAsia" w:ascii="仿宋" w:hAnsi="仿宋" w:eastAsia="仿宋" w:cs="仿宋"/>
                <w:kern w:val="0"/>
                <w:sz w:val="18"/>
                <w:szCs w:val="18"/>
              </w:rPr>
              <w:t>　</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781F7BC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top"/>
          </w:tcPr>
          <w:p w14:paraId="33559B4B">
            <w:pPr>
              <w:keepNext w:val="0"/>
              <w:keepLines w:val="0"/>
              <w:widowControl/>
              <w:suppressLineNumbers w:val="0"/>
              <w:snapToGrid w:val="0"/>
              <w:spacing w:before="0" w:beforeAutospacing="1" w:after="0" w:afterAutospacing="1"/>
              <w:ind w:left="0" w:right="0"/>
              <w:rPr>
                <w:rFonts w:hint="eastAsia" w:ascii="仿宋" w:hAnsi="仿宋" w:eastAsia="仿宋" w:cs="仿宋"/>
                <w:kern w:val="0"/>
                <w:sz w:val="24"/>
                <w:szCs w:val="24"/>
              </w:rPr>
            </w:pPr>
            <w:r>
              <w:rPr>
                <w:rFonts w:hint="eastAsia" w:ascii="仿宋" w:hAnsi="仿宋" w:eastAsia="仿宋" w:cs="仿宋"/>
                <w:kern w:val="0"/>
                <w:sz w:val="18"/>
                <w:szCs w:val="18"/>
              </w:rPr>
              <w:t>　</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center"/>
          </w:tcPr>
          <w:p w14:paraId="1A09D92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w:t>
            </w:r>
          </w:p>
        </w:tc>
      </w:tr>
      <w:tr w14:paraId="63EE6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382" w:hRule="atLeast"/>
          <w:jc w:val="center"/>
        </w:trPr>
        <w:tc>
          <w:tcPr>
            <w:tcW w:w="491" w:type="pct"/>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FDE525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年度总体目标</w:t>
            </w:r>
          </w:p>
        </w:tc>
        <w:tc>
          <w:tcPr>
            <w:tcW w:w="2627" w:type="pct"/>
            <w:gridSpan w:val="5"/>
            <w:tcBorders>
              <w:top w:val="nil"/>
              <w:left w:val="nil"/>
              <w:bottom w:val="single" w:color="auto" w:sz="8" w:space="0"/>
              <w:right w:val="single" w:color="auto" w:sz="8" w:space="0"/>
            </w:tcBorders>
            <w:shd w:val="clear" w:color="auto" w:fill="auto"/>
            <w:tcMar>
              <w:left w:w="108" w:type="dxa"/>
              <w:right w:w="108" w:type="dxa"/>
            </w:tcMar>
            <w:vAlign w:val="center"/>
          </w:tcPr>
          <w:p w14:paraId="7972E677">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预期目标</w:t>
            </w:r>
          </w:p>
        </w:tc>
        <w:tc>
          <w:tcPr>
            <w:tcW w:w="1880" w:type="pct"/>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3B8FF87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实际完成情况</w:t>
            </w:r>
          </w:p>
        </w:tc>
      </w:tr>
      <w:tr w14:paraId="78C48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49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6784C69">
            <w:pPr>
              <w:snapToGrid w:val="0"/>
              <w:rPr>
                <w:rFonts w:hint="eastAsia" w:ascii="仿宋" w:hAnsi="仿宋" w:eastAsia="仿宋" w:cs="仿宋"/>
                <w:sz w:val="20"/>
                <w:szCs w:val="20"/>
              </w:rPr>
            </w:pPr>
          </w:p>
        </w:tc>
        <w:tc>
          <w:tcPr>
            <w:tcW w:w="2627" w:type="pct"/>
            <w:gridSpan w:val="5"/>
            <w:tcBorders>
              <w:top w:val="nil"/>
              <w:left w:val="nil"/>
              <w:bottom w:val="single" w:color="auto" w:sz="8" w:space="0"/>
              <w:right w:val="single" w:color="auto" w:sz="8" w:space="0"/>
            </w:tcBorders>
            <w:shd w:val="clear" w:color="auto" w:fill="auto"/>
            <w:tcMar>
              <w:left w:w="108" w:type="dxa"/>
              <w:right w:w="108" w:type="dxa"/>
            </w:tcMar>
            <w:vAlign w:val="top"/>
          </w:tcPr>
          <w:p w14:paraId="461F0909">
            <w:pPr>
              <w:keepNext w:val="0"/>
              <w:keepLines w:val="0"/>
              <w:widowControl/>
              <w:suppressLineNumbers w:val="0"/>
              <w:snapToGrid w:val="0"/>
              <w:spacing w:before="0" w:beforeAutospacing="1" w:after="0" w:afterAutospacing="1"/>
              <w:ind w:left="0" w:right="0"/>
              <w:rPr>
                <w:rFonts w:hint="eastAsia" w:ascii="仿宋" w:hAnsi="仿宋" w:eastAsia="仿宋" w:cs="仿宋"/>
                <w:kern w:val="0"/>
                <w:sz w:val="24"/>
                <w:szCs w:val="24"/>
                <w:lang w:eastAsia="zh-CN"/>
              </w:rPr>
            </w:pPr>
            <w:r>
              <w:rPr>
                <w:rFonts w:hint="eastAsia" w:ascii="仿宋" w:hAnsi="仿宋" w:eastAsia="仿宋" w:cs="仿宋"/>
                <w:kern w:val="0"/>
                <w:sz w:val="18"/>
                <w:szCs w:val="18"/>
                <w:lang w:val="en-US" w:eastAsia="zh-CN"/>
              </w:rPr>
              <w:t>组织相关专业技术人员参加结核病与耐药结核病临床管理培训班及中国防痨协会全国学术大会。</w:t>
            </w:r>
          </w:p>
        </w:tc>
        <w:tc>
          <w:tcPr>
            <w:tcW w:w="1880" w:type="pct"/>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39A8444E">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eastAsia="zh-CN"/>
              </w:rPr>
            </w:pPr>
            <w:r>
              <w:rPr>
                <w:rFonts w:hint="eastAsia" w:ascii="仿宋" w:hAnsi="仿宋" w:eastAsia="仿宋" w:cs="仿宋"/>
                <w:kern w:val="0"/>
                <w:sz w:val="18"/>
                <w:szCs w:val="18"/>
                <w:lang w:val="en-US" w:eastAsia="zh-CN"/>
              </w:rPr>
              <w:t>本年项目已实施完毕</w:t>
            </w:r>
          </w:p>
        </w:tc>
      </w:tr>
      <w:tr w14:paraId="49037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491" w:type="pct"/>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3DC462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绩  效 指  标（100）</w:t>
            </w:r>
          </w:p>
        </w:tc>
        <w:tc>
          <w:tcPr>
            <w:tcW w:w="447" w:type="pct"/>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0D3DE9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一级指标</w:t>
            </w:r>
          </w:p>
        </w:tc>
        <w:tc>
          <w:tcPr>
            <w:tcW w:w="724" w:type="pct"/>
            <w:tcBorders>
              <w:top w:val="nil"/>
              <w:left w:val="nil"/>
              <w:bottom w:val="single" w:color="auto" w:sz="8" w:space="0"/>
              <w:right w:val="single" w:color="auto" w:sz="8" w:space="0"/>
            </w:tcBorders>
            <w:shd w:val="clear" w:color="auto" w:fill="auto"/>
            <w:tcMar>
              <w:left w:w="108" w:type="dxa"/>
              <w:right w:w="108" w:type="dxa"/>
            </w:tcMar>
            <w:vAlign w:val="center"/>
          </w:tcPr>
          <w:p w14:paraId="3CF02F8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二级指标</w:t>
            </w:r>
          </w:p>
        </w:tc>
        <w:tc>
          <w:tcPr>
            <w:tcW w:w="743" w:type="pct"/>
            <w:tcBorders>
              <w:top w:val="nil"/>
              <w:left w:val="nil"/>
              <w:bottom w:val="single" w:color="auto" w:sz="8" w:space="0"/>
              <w:right w:val="single" w:color="auto" w:sz="8" w:space="0"/>
            </w:tcBorders>
            <w:shd w:val="clear" w:color="auto" w:fill="auto"/>
            <w:tcMar>
              <w:left w:w="108" w:type="dxa"/>
              <w:right w:w="108" w:type="dxa"/>
            </w:tcMar>
            <w:vAlign w:val="center"/>
          </w:tcPr>
          <w:p w14:paraId="6DCF358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三级指标</w:t>
            </w:r>
          </w:p>
        </w:tc>
        <w:tc>
          <w:tcPr>
            <w:tcW w:w="711" w:type="pct"/>
            <w:tcBorders>
              <w:top w:val="nil"/>
              <w:left w:val="nil"/>
              <w:bottom w:val="single" w:color="auto" w:sz="8" w:space="0"/>
              <w:right w:val="single" w:color="auto" w:sz="8" w:space="0"/>
            </w:tcBorders>
            <w:shd w:val="clear" w:color="auto" w:fill="auto"/>
            <w:tcMar>
              <w:left w:w="108" w:type="dxa"/>
              <w:right w:w="108" w:type="dxa"/>
            </w:tcMar>
            <w:vAlign w:val="center"/>
          </w:tcPr>
          <w:p w14:paraId="6E6A6D0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年度指标值</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center"/>
          </w:tcPr>
          <w:p w14:paraId="7CC5A67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实际完成值</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1D7DF27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分值</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center"/>
          </w:tcPr>
          <w:p w14:paraId="54150B3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得分</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center"/>
          </w:tcPr>
          <w:p w14:paraId="43462F0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偏差原因分析及改进措施</w:t>
            </w:r>
          </w:p>
        </w:tc>
      </w:tr>
      <w:tr w14:paraId="1E148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465" w:hRule="atLeast"/>
          <w:jc w:val="center"/>
        </w:trPr>
        <w:tc>
          <w:tcPr>
            <w:tcW w:w="49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CBF822C">
            <w:pPr>
              <w:snapToGrid w:val="0"/>
              <w:rPr>
                <w:rFonts w:hint="eastAsia" w:ascii="仿宋" w:hAnsi="仿宋" w:eastAsia="仿宋" w:cs="仿宋"/>
                <w:sz w:val="20"/>
                <w:szCs w:val="20"/>
              </w:rPr>
            </w:pPr>
          </w:p>
        </w:tc>
        <w:tc>
          <w:tcPr>
            <w:tcW w:w="447" w:type="pct"/>
            <w:gridSpan w:val="2"/>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7DC2456F">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产出指标（80）</w:t>
            </w:r>
          </w:p>
        </w:tc>
        <w:tc>
          <w:tcPr>
            <w:tcW w:w="724" w:type="pct"/>
            <w:vMerge w:val="restart"/>
            <w:tcBorders>
              <w:top w:val="nil"/>
              <w:left w:val="nil"/>
              <w:right w:val="single" w:color="auto" w:sz="8" w:space="0"/>
            </w:tcBorders>
            <w:shd w:val="clear" w:color="auto" w:fill="auto"/>
            <w:tcMar>
              <w:left w:w="108" w:type="dxa"/>
              <w:right w:w="108" w:type="dxa"/>
            </w:tcMar>
            <w:vAlign w:val="center"/>
          </w:tcPr>
          <w:p w14:paraId="00A4527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数量指标</w:t>
            </w:r>
          </w:p>
        </w:tc>
        <w:tc>
          <w:tcPr>
            <w:tcW w:w="743" w:type="pct"/>
            <w:tcBorders>
              <w:top w:val="nil"/>
              <w:left w:val="nil"/>
              <w:bottom w:val="single" w:color="auto" w:sz="8" w:space="0"/>
              <w:right w:val="single" w:color="auto" w:sz="8" w:space="0"/>
            </w:tcBorders>
            <w:shd w:val="clear" w:color="auto" w:fill="auto"/>
            <w:tcMar>
              <w:left w:w="108" w:type="dxa"/>
              <w:right w:w="108" w:type="dxa"/>
            </w:tcMar>
            <w:vAlign w:val="center"/>
          </w:tcPr>
          <w:p w14:paraId="4AC3E21C">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培训与学习</w:t>
            </w:r>
          </w:p>
        </w:tc>
        <w:tc>
          <w:tcPr>
            <w:tcW w:w="711" w:type="pct"/>
            <w:tcBorders>
              <w:top w:val="nil"/>
              <w:left w:val="nil"/>
              <w:bottom w:val="single" w:color="auto" w:sz="8" w:space="0"/>
              <w:right w:val="single" w:color="auto" w:sz="8" w:space="0"/>
            </w:tcBorders>
            <w:shd w:val="clear" w:color="auto" w:fill="auto"/>
            <w:tcMar>
              <w:left w:w="108" w:type="dxa"/>
              <w:right w:w="108" w:type="dxa"/>
            </w:tcMar>
            <w:vAlign w:val="center"/>
          </w:tcPr>
          <w:p w14:paraId="6B04961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lang w:eastAsia="zh-CN"/>
              </w:rPr>
            </w:pPr>
            <w:r>
              <w:rPr>
                <w:rFonts w:hint="eastAsia" w:ascii="仿宋" w:hAnsi="仿宋" w:eastAsia="仿宋" w:cs="仿宋"/>
                <w:kern w:val="0"/>
                <w:sz w:val="18"/>
                <w:szCs w:val="18"/>
                <w:lang w:val="en-US" w:eastAsia="zh-CN"/>
              </w:rPr>
              <w:t>2</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center"/>
          </w:tcPr>
          <w:p w14:paraId="5F97502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lang w:eastAsia="zh-CN"/>
              </w:rPr>
            </w:pPr>
            <w:r>
              <w:rPr>
                <w:rFonts w:hint="eastAsia" w:ascii="仿宋" w:hAnsi="仿宋" w:eastAsia="仿宋" w:cs="仿宋"/>
                <w:kern w:val="0"/>
                <w:sz w:val="18"/>
                <w:szCs w:val="18"/>
                <w:lang w:val="en-US" w:eastAsia="zh-CN"/>
              </w:rPr>
              <w:t>2</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6F61348B">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lang w:val="en-US" w:eastAsia="zh-CN"/>
              </w:rPr>
            </w:pPr>
            <w:r>
              <w:rPr>
                <w:rFonts w:hint="eastAsia" w:ascii="仿宋" w:hAnsi="仿宋" w:eastAsia="仿宋" w:cs="仿宋"/>
                <w:kern w:val="0"/>
                <w:sz w:val="18"/>
                <w:szCs w:val="18"/>
                <w:lang w:val="en-US" w:eastAsia="zh-CN"/>
              </w:rPr>
              <w:t>8</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center"/>
          </w:tcPr>
          <w:p w14:paraId="5698ECE3">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24"/>
                <w:szCs w:val="24"/>
                <w:lang w:val="en-US" w:eastAsia="zh-CN"/>
              </w:rPr>
            </w:pPr>
            <w:r>
              <w:rPr>
                <w:rFonts w:hint="eastAsia" w:ascii="仿宋" w:hAnsi="仿宋" w:eastAsia="仿宋" w:cs="仿宋"/>
                <w:kern w:val="0"/>
                <w:sz w:val="18"/>
                <w:szCs w:val="18"/>
                <w:lang w:val="en-US" w:eastAsia="zh-CN"/>
              </w:rPr>
              <w:t>8</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top"/>
          </w:tcPr>
          <w:p w14:paraId="123D16B1">
            <w:pPr>
              <w:keepNext w:val="0"/>
              <w:keepLines w:val="0"/>
              <w:widowControl/>
              <w:suppressLineNumbers w:val="0"/>
              <w:snapToGrid w:val="0"/>
              <w:spacing w:before="0" w:beforeAutospacing="1" w:after="0" w:afterAutospacing="1"/>
              <w:ind w:left="0" w:right="0"/>
              <w:jc w:val="both"/>
              <w:rPr>
                <w:rFonts w:hint="default" w:ascii="仿宋" w:hAnsi="仿宋" w:eastAsia="仿宋" w:cs="仿宋"/>
                <w:kern w:val="0"/>
                <w:sz w:val="24"/>
                <w:szCs w:val="24"/>
                <w:lang w:val="en-US" w:eastAsia="zh-CN"/>
              </w:rPr>
            </w:pPr>
          </w:p>
        </w:tc>
      </w:tr>
      <w:tr w14:paraId="513FF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442" w:hRule="atLeast"/>
          <w:jc w:val="center"/>
        </w:trPr>
        <w:tc>
          <w:tcPr>
            <w:tcW w:w="49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4E4A2F8">
            <w:pPr>
              <w:snapToGrid w:val="0"/>
              <w:rPr>
                <w:rFonts w:hint="eastAsia" w:ascii="仿宋" w:hAnsi="仿宋" w:eastAsia="仿宋" w:cs="仿宋"/>
                <w:sz w:val="20"/>
                <w:szCs w:val="20"/>
              </w:rPr>
            </w:pPr>
          </w:p>
        </w:tc>
        <w:tc>
          <w:tcPr>
            <w:tcW w:w="447" w:type="pct"/>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11CC31B0">
            <w:pPr>
              <w:snapToGrid w:val="0"/>
              <w:rPr>
                <w:rFonts w:hint="eastAsia" w:ascii="仿宋" w:hAnsi="仿宋" w:eastAsia="仿宋" w:cs="仿宋"/>
                <w:sz w:val="20"/>
                <w:szCs w:val="20"/>
              </w:rPr>
            </w:pPr>
          </w:p>
        </w:tc>
        <w:tc>
          <w:tcPr>
            <w:tcW w:w="724" w:type="pct"/>
            <w:vMerge w:val="continue"/>
            <w:tcBorders>
              <w:left w:val="nil"/>
              <w:bottom w:val="single" w:color="auto" w:sz="8" w:space="0"/>
              <w:right w:val="single" w:color="auto" w:sz="8" w:space="0"/>
            </w:tcBorders>
            <w:shd w:val="clear" w:color="auto" w:fill="auto"/>
            <w:tcMar>
              <w:left w:w="108" w:type="dxa"/>
              <w:right w:w="108" w:type="dxa"/>
            </w:tcMar>
            <w:vAlign w:val="center"/>
          </w:tcPr>
          <w:p w14:paraId="21BFED1F">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743" w:type="pct"/>
            <w:tcBorders>
              <w:top w:val="nil"/>
              <w:left w:val="nil"/>
              <w:bottom w:val="single" w:color="auto" w:sz="8" w:space="0"/>
              <w:right w:val="single" w:color="auto" w:sz="8" w:space="0"/>
            </w:tcBorders>
            <w:shd w:val="clear" w:color="auto" w:fill="auto"/>
            <w:tcMar>
              <w:left w:w="108" w:type="dxa"/>
              <w:right w:w="108" w:type="dxa"/>
            </w:tcMar>
            <w:vAlign w:val="center"/>
          </w:tcPr>
          <w:p w14:paraId="30CB6F46">
            <w:pPr>
              <w:keepNext w:val="0"/>
              <w:keepLines w:val="0"/>
              <w:widowControl/>
              <w:suppressLineNumbers w:val="0"/>
              <w:snapToGrid w:val="0"/>
              <w:spacing w:before="0" w:beforeAutospacing="1" w:after="0" w:afterAutospacing="1"/>
              <w:ind w:left="0" w:right="0"/>
              <w:jc w:val="center"/>
              <w:rPr>
                <w:rFonts w:hint="default" w:ascii="仿宋" w:hAnsi="仿宋" w:eastAsia="仿宋" w:cs="仿宋"/>
                <w:b w:val="0"/>
                <w:bCs/>
                <w:kern w:val="0"/>
                <w:sz w:val="18"/>
                <w:szCs w:val="18"/>
                <w:lang w:val="en-US" w:eastAsia="zh-CN"/>
              </w:rPr>
            </w:pPr>
            <w:r>
              <w:rPr>
                <w:rFonts w:hint="eastAsia" w:ascii="仿宋" w:hAnsi="仿宋" w:eastAsia="仿宋" w:cs="仿宋"/>
                <w:b w:val="0"/>
                <w:bCs/>
                <w:kern w:val="0"/>
                <w:sz w:val="18"/>
                <w:szCs w:val="18"/>
                <w:lang w:val="en-US" w:eastAsia="zh-CN"/>
              </w:rPr>
              <w:t>培训学习天数</w:t>
            </w:r>
          </w:p>
        </w:tc>
        <w:tc>
          <w:tcPr>
            <w:tcW w:w="711" w:type="pct"/>
            <w:tcBorders>
              <w:top w:val="nil"/>
              <w:left w:val="nil"/>
              <w:bottom w:val="single" w:color="auto" w:sz="8" w:space="0"/>
              <w:right w:val="single" w:color="auto" w:sz="8" w:space="0"/>
            </w:tcBorders>
            <w:shd w:val="clear" w:color="auto" w:fill="auto"/>
            <w:tcMar>
              <w:left w:w="108" w:type="dxa"/>
              <w:right w:w="108" w:type="dxa"/>
            </w:tcMar>
            <w:vAlign w:val="center"/>
          </w:tcPr>
          <w:p w14:paraId="405F7BE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8</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center"/>
          </w:tcPr>
          <w:p w14:paraId="1EDCDB45">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8</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07A49613">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7</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center"/>
          </w:tcPr>
          <w:p w14:paraId="0AB8936C">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7</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top"/>
          </w:tcPr>
          <w:p w14:paraId="78AA1075">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p>
        </w:tc>
      </w:tr>
      <w:tr w14:paraId="2695C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620" w:hRule="atLeast"/>
          <w:jc w:val="center"/>
        </w:trPr>
        <w:tc>
          <w:tcPr>
            <w:tcW w:w="49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6425CB4">
            <w:pPr>
              <w:snapToGrid w:val="0"/>
              <w:rPr>
                <w:rFonts w:hint="eastAsia" w:ascii="仿宋" w:hAnsi="仿宋" w:eastAsia="仿宋" w:cs="仿宋"/>
                <w:sz w:val="20"/>
                <w:szCs w:val="20"/>
              </w:rPr>
            </w:pPr>
          </w:p>
        </w:tc>
        <w:tc>
          <w:tcPr>
            <w:tcW w:w="447" w:type="pct"/>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14D38B40">
            <w:pPr>
              <w:snapToGrid w:val="0"/>
              <w:rPr>
                <w:rFonts w:hint="eastAsia" w:ascii="仿宋" w:hAnsi="仿宋" w:eastAsia="仿宋" w:cs="仿宋"/>
                <w:sz w:val="20"/>
                <w:szCs w:val="20"/>
              </w:rPr>
            </w:pPr>
          </w:p>
        </w:tc>
        <w:tc>
          <w:tcPr>
            <w:tcW w:w="724" w:type="pct"/>
            <w:tcBorders>
              <w:top w:val="nil"/>
              <w:left w:val="nil"/>
              <w:bottom w:val="single" w:color="auto" w:sz="8" w:space="0"/>
              <w:right w:val="single" w:color="auto" w:sz="8" w:space="0"/>
            </w:tcBorders>
            <w:shd w:val="clear" w:color="auto" w:fill="auto"/>
            <w:tcMar>
              <w:left w:w="108" w:type="dxa"/>
              <w:right w:w="108" w:type="dxa"/>
            </w:tcMar>
            <w:vAlign w:val="center"/>
          </w:tcPr>
          <w:p w14:paraId="644EC3DF">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质量指标</w:t>
            </w:r>
          </w:p>
        </w:tc>
        <w:tc>
          <w:tcPr>
            <w:tcW w:w="743" w:type="pct"/>
            <w:tcBorders>
              <w:top w:val="nil"/>
              <w:left w:val="nil"/>
              <w:bottom w:val="single" w:color="auto" w:sz="8" w:space="0"/>
              <w:right w:val="single" w:color="auto" w:sz="8" w:space="0"/>
            </w:tcBorders>
            <w:shd w:val="clear" w:color="auto" w:fill="auto"/>
            <w:tcMar>
              <w:left w:w="108" w:type="dxa"/>
              <w:right w:w="108" w:type="dxa"/>
            </w:tcMar>
            <w:vAlign w:val="center"/>
          </w:tcPr>
          <w:p w14:paraId="30D9D98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b w:val="0"/>
                <w:bCs/>
                <w:kern w:val="0"/>
                <w:sz w:val="18"/>
                <w:szCs w:val="18"/>
                <w:lang w:val="en-US" w:eastAsia="zh-CN"/>
              </w:rPr>
              <w:t>人才培养</w:t>
            </w:r>
          </w:p>
        </w:tc>
        <w:tc>
          <w:tcPr>
            <w:tcW w:w="711" w:type="pct"/>
            <w:tcBorders>
              <w:top w:val="nil"/>
              <w:left w:val="nil"/>
              <w:bottom w:val="single" w:color="auto" w:sz="8" w:space="0"/>
              <w:right w:val="single" w:color="auto" w:sz="8" w:space="0"/>
            </w:tcBorders>
            <w:shd w:val="clear" w:color="auto" w:fill="auto"/>
            <w:tcMar>
              <w:left w:w="108" w:type="dxa"/>
              <w:right w:w="108" w:type="dxa"/>
            </w:tcMar>
            <w:vAlign w:val="center"/>
          </w:tcPr>
          <w:p w14:paraId="7C1DC322">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center"/>
          </w:tcPr>
          <w:p w14:paraId="02039775">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18D10615">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15</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center"/>
          </w:tcPr>
          <w:p w14:paraId="41DEE9C5">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15</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top"/>
          </w:tcPr>
          <w:p w14:paraId="1ADC9EA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3443C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70" w:hRule="atLeast"/>
          <w:jc w:val="center"/>
        </w:trPr>
        <w:tc>
          <w:tcPr>
            <w:tcW w:w="49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19336B9">
            <w:pPr>
              <w:snapToGrid w:val="0"/>
              <w:rPr>
                <w:rFonts w:hint="eastAsia" w:ascii="仿宋" w:hAnsi="仿宋" w:eastAsia="仿宋" w:cs="仿宋"/>
                <w:sz w:val="20"/>
                <w:szCs w:val="20"/>
              </w:rPr>
            </w:pPr>
          </w:p>
        </w:tc>
        <w:tc>
          <w:tcPr>
            <w:tcW w:w="447" w:type="pct"/>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664F35E8">
            <w:pPr>
              <w:snapToGrid w:val="0"/>
              <w:rPr>
                <w:rFonts w:hint="eastAsia" w:ascii="仿宋" w:hAnsi="仿宋" w:eastAsia="仿宋" w:cs="仿宋"/>
                <w:sz w:val="20"/>
                <w:szCs w:val="20"/>
              </w:rPr>
            </w:pPr>
          </w:p>
        </w:tc>
        <w:tc>
          <w:tcPr>
            <w:tcW w:w="724" w:type="pct"/>
            <w:vMerge w:val="restart"/>
            <w:tcBorders>
              <w:top w:val="nil"/>
              <w:left w:val="nil"/>
              <w:right w:val="single" w:color="auto" w:sz="8" w:space="0"/>
            </w:tcBorders>
            <w:shd w:val="clear" w:color="auto" w:fill="auto"/>
            <w:tcMar>
              <w:left w:w="108" w:type="dxa"/>
              <w:right w:w="108" w:type="dxa"/>
            </w:tcMar>
            <w:vAlign w:val="center"/>
          </w:tcPr>
          <w:p w14:paraId="6681787B">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时效指标</w:t>
            </w:r>
          </w:p>
        </w:tc>
        <w:tc>
          <w:tcPr>
            <w:tcW w:w="743" w:type="pct"/>
            <w:tcBorders>
              <w:top w:val="nil"/>
              <w:left w:val="nil"/>
              <w:bottom w:val="single" w:color="auto" w:sz="8" w:space="0"/>
              <w:right w:val="single" w:color="auto" w:sz="8" w:space="0"/>
            </w:tcBorders>
            <w:shd w:val="clear" w:color="auto" w:fill="auto"/>
            <w:tcMar>
              <w:left w:w="108" w:type="dxa"/>
              <w:right w:w="108" w:type="dxa"/>
            </w:tcMar>
            <w:vAlign w:val="center"/>
          </w:tcPr>
          <w:p w14:paraId="70E62C16">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b w:val="0"/>
                <w:bCs/>
                <w:kern w:val="0"/>
                <w:sz w:val="18"/>
                <w:szCs w:val="18"/>
                <w:lang w:val="en-US" w:eastAsia="zh-CN"/>
              </w:rPr>
              <w:t>拨款时间</w:t>
            </w:r>
          </w:p>
        </w:tc>
        <w:tc>
          <w:tcPr>
            <w:tcW w:w="711" w:type="pct"/>
            <w:tcBorders>
              <w:top w:val="nil"/>
              <w:left w:val="nil"/>
              <w:bottom w:val="single" w:color="auto" w:sz="8" w:space="0"/>
              <w:right w:val="single" w:color="auto" w:sz="8" w:space="0"/>
            </w:tcBorders>
            <w:shd w:val="clear" w:color="auto" w:fill="auto"/>
            <w:tcMar>
              <w:left w:w="108" w:type="dxa"/>
              <w:right w:w="108" w:type="dxa"/>
            </w:tcMar>
            <w:vAlign w:val="center"/>
          </w:tcPr>
          <w:p w14:paraId="4A152EBC">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center"/>
          </w:tcPr>
          <w:p w14:paraId="4BC3C0F6">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61477935">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center"/>
          </w:tcPr>
          <w:p w14:paraId="4B2995D5">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top"/>
          </w:tcPr>
          <w:p w14:paraId="34A3699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00F1B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50" w:hRule="atLeast"/>
          <w:jc w:val="center"/>
        </w:trPr>
        <w:tc>
          <w:tcPr>
            <w:tcW w:w="49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463E704">
            <w:pPr>
              <w:snapToGrid w:val="0"/>
              <w:rPr>
                <w:rFonts w:hint="eastAsia" w:ascii="仿宋" w:hAnsi="仿宋" w:eastAsia="仿宋" w:cs="仿宋"/>
                <w:sz w:val="20"/>
                <w:szCs w:val="20"/>
              </w:rPr>
            </w:pPr>
          </w:p>
        </w:tc>
        <w:tc>
          <w:tcPr>
            <w:tcW w:w="447" w:type="pct"/>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10CCC30B">
            <w:pPr>
              <w:snapToGrid w:val="0"/>
              <w:rPr>
                <w:rFonts w:hint="eastAsia" w:ascii="仿宋" w:hAnsi="仿宋" w:eastAsia="仿宋" w:cs="仿宋"/>
                <w:sz w:val="20"/>
                <w:szCs w:val="20"/>
              </w:rPr>
            </w:pPr>
          </w:p>
        </w:tc>
        <w:tc>
          <w:tcPr>
            <w:tcW w:w="724" w:type="pct"/>
            <w:vMerge w:val="continue"/>
            <w:tcBorders>
              <w:left w:val="nil"/>
              <w:bottom w:val="single" w:color="auto" w:sz="8" w:space="0"/>
              <w:right w:val="single" w:color="auto" w:sz="8" w:space="0"/>
            </w:tcBorders>
            <w:shd w:val="clear" w:color="auto" w:fill="auto"/>
            <w:tcMar>
              <w:left w:w="108" w:type="dxa"/>
              <w:right w:w="108" w:type="dxa"/>
            </w:tcMar>
            <w:vAlign w:val="center"/>
          </w:tcPr>
          <w:p w14:paraId="42ADFBFB">
            <w:pPr>
              <w:snapToGrid w:val="0"/>
              <w:jc w:val="center"/>
              <w:rPr>
                <w:rFonts w:hint="eastAsia" w:ascii="仿宋" w:hAnsi="仿宋" w:eastAsia="仿宋" w:cs="仿宋"/>
                <w:sz w:val="20"/>
                <w:szCs w:val="20"/>
                <w:lang w:eastAsia="zh-CN"/>
              </w:rPr>
            </w:pPr>
          </w:p>
        </w:tc>
        <w:tc>
          <w:tcPr>
            <w:tcW w:w="743" w:type="pct"/>
            <w:tcBorders>
              <w:top w:val="nil"/>
              <w:left w:val="nil"/>
              <w:bottom w:val="single" w:color="auto" w:sz="8" w:space="0"/>
              <w:right w:val="single" w:color="auto" w:sz="8" w:space="0"/>
            </w:tcBorders>
            <w:shd w:val="clear" w:color="auto" w:fill="auto"/>
            <w:tcMar>
              <w:left w:w="108" w:type="dxa"/>
              <w:right w:w="108" w:type="dxa"/>
            </w:tcMar>
            <w:vAlign w:val="center"/>
          </w:tcPr>
          <w:p w14:paraId="72DE6604">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及时完成培训学习时间</w:t>
            </w:r>
          </w:p>
        </w:tc>
        <w:tc>
          <w:tcPr>
            <w:tcW w:w="711" w:type="pct"/>
            <w:tcBorders>
              <w:top w:val="nil"/>
              <w:left w:val="nil"/>
              <w:bottom w:val="single" w:color="auto" w:sz="8" w:space="0"/>
              <w:right w:val="single" w:color="auto" w:sz="8" w:space="0"/>
            </w:tcBorders>
            <w:shd w:val="clear" w:color="auto" w:fill="auto"/>
            <w:tcMar>
              <w:left w:w="108" w:type="dxa"/>
              <w:right w:w="108" w:type="dxa"/>
            </w:tcMar>
            <w:vAlign w:val="center"/>
          </w:tcPr>
          <w:p w14:paraId="0C5767B0">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8</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center"/>
          </w:tcPr>
          <w:p w14:paraId="4F7D46FF">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8</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14085EE7">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center"/>
          </w:tcPr>
          <w:p w14:paraId="4CC900F3">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top"/>
          </w:tcPr>
          <w:p w14:paraId="783F8681">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p>
        </w:tc>
      </w:tr>
      <w:tr w14:paraId="4651A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49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9F222A8">
            <w:pPr>
              <w:snapToGrid w:val="0"/>
              <w:rPr>
                <w:rFonts w:hint="eastAsia" w:ascii="仿宋" w:hAnsi="仿宋" w:eastAsia="仿宋" w:cs="仿宋"/>
                <w:sz w:val="20"/>
                <w:szCs w:val="20"/>
              </w:rPr>
            </w:pPr>
          </w:p>
        </w:tc>
        <w:tc>
          <w:tcPr>
            <w:tcW w:w="447" w:type="pct"/>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306DEC00">
            <w:pPr>
              <w:snapToGrid w:val="0"/>
              <w:rPr>
                <w:rFonts w:hint="eastAsia" w:ascii="仿宋" w:hAnsi="仿宋" w:eastAsia="仿宋" w:cs="仿宋"/>
                <w:sz w:val="20"/>
                <w:szCs w:val="20"/>
              </w:rPr>
            </w:pPr>
          </w:p>
        </w:tc>
        <w:tc>
          <w:tcPr>
            <w:tcW w:w="724" w:type="pct"/>
            <w:tcBorders>
              <w:top w:val="nil"/>
              <w:left w:val="nil"/>
              <w:bottom w:val="single" w:color="auto" w:sz="8" w:space="0"/>
              <w:right w:val="single" w:color="auto" w:sz="8" w:space="0"/>
            </w:tcBorders>
            <w:shd w:val="clear" w:color="auto" w:fill="auto"/>
            <w:tcMar>
              <w:left w:w="108" w:type="dxa"/>
              <w:right w:w="108" w:type="dxa"/>
            </w:tcMar>
            <w:vAlign w:val="center"/>
          </w:tcPr>
          <w:p w14:paraId="41110C64">
            <w:pPr>
              <w:snapToGrid w:val="0"/>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成本指标</w:t>
            </w:r>
          </w:p>
        </w:tc>
        <w:tc>
          <w:tcPr>
            <w:tcW w:w="743" w:type="pct"/>
            <w:tcBorders>
              <w:top w:val="nil"/>
              <w:left w:val="nil"/>
              <w:bottom w:val="single" w:color="auto" w:sz="8" w:space="0"/>
              <w:right w:val="single" w:color="auto" w:sz="8" w:space="0"/>
            </w:tcBorders>
            <w:shd w:val="clear" w:color="auto" w:fill="auto"/>
            <w:tcMar>
              <w:left w:w="108" w:type="dxa"/>
              <w:right w:w="108" w:type="dxa"/>
            </w:tcMar>
            <w:vAlign w:val="center"/>
          </w:tcPr>
          <w:p w14:paraId="6789D6A0">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成本不超预算金额（万元）</w:t>
            </w:r>
          </w:p>
        </w:tc>
        <w:tc>
          <w:tcPr>
            <w:tcW w:w="711" w:type="pct"/>
            <w:tcBorders>
              <w:top w:val="nil"/>
              <w:left w:val="nil"/>
              <w:bottom w:val="single" w:color="auto" w:sz="8" w:space="0"/>
              <w:right w:val="single" w:color="auto" w:sz="8" w:space="0"/>
            </w:tcBorders>
            <w:shd w:val="clear" w:color="auto" w:fill="auto"/>
            <w:tcMar>
              <w:left w:w="108" w:type="dxa"/>
              <w:right w:w="108" w:type="dxa"/>
            </w:tcMar>
            <w:vAlign w:val="center"/>
          </w:tcPr>
          <w:p w14:paraId="3CFDAB1A">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0.49</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center"/>
          </w:tcPr>
          <w:p w14:paraId="4474BF60">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0.49</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1C6E2C5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5</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center"/>
          </w:tcPr>
          <w:p w14:paraId="34DA82A2">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5</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center"/>
          </w:tcPr>
          <w:p w14:paraId="49D49235">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p>
        </w:tc>
      </w:tr>
      <w:tr w14:paraId="52B78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97" w:hRule="atLeast"/>
          <w:jc w:val="center"/>
        </w:trPr>
        <w:tc>
          <w:tcPr>
            <w:tcW w:w="49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BB102A6">
            <w:pPr>
              <w:snapToGrid w:val="0"/>
              <w:rPr>
                <w:rFonts w:hint="eastAsia" w:ascii="仿宋" w:hAnsi="仿宋" w:eastAsia="仿宋" w:cs="仿宋"/>
                <w:sz w:val="20"/>
                <w:szCs w:val="20"/>
              </w:rPr>
            </w:pPr>
          </w:p>
        </w:tc>
        <w:tc>
          <w:tcPr>
            <w:tcW w:w="447" w:type="pct"/>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6C1D6F4B">
            <w:pPr>
              <w:snapToGrid w:val="0"/>
              <w:rPr>
                <w:rFonts w:hint="eastAsia" w:ascii="仿宋" w:hAnsi="仿宋" w:eastAsia="仿宋" w:cs="仿宋"/>
                <w:sz w:val="20"/>
                <w:szCs w:val="20"/>
              </w:rPr>
            </w:pPr>
          </w:p>
        </w:tc>
        <w:tc>
          <w:tcPr>
            <w:tcW w:w="724" w:type="pct"/>
            <w:tcBorders>
              <w:top w:val="nil"/>
              <w:left w:val="nil"/>
              <w:bottom w:val="single" w:color="auto" w:sz="8" w:space="0"/>
              <w:right w:val="single" w:color="auto" w:sz="8" w:space="0"/>
            </w:tcBorders>
            <w:shd w:val="clear" w:color="auto" w:fill="auto"/>
            <w:tcMar>
              <w:left w:w="108" w:type="dxa"/>
              <w:right w:w="108" w:type="dxa"/>
            </w:tcMar>
            <w:vAlign w:val="center"/>
          </w:tcPr>
          <w:p w14:paraId="34728D46">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社会效益指标</w:t>
            </w:r>
          </w:p>
        </w:tc>
        <w:tc>
          <w:tcPr>
            <w:tcW w:w="743" w:type="pct"/>
            <w:tcBorders>
              <w:top w:val="nil"/>
              <w:left w:val="nil"/>
              <w:bottom w:val="single" w:color="auto" w:sz="8" w:space="0"/>
              <w:right w:val="single" w:color="auto" w:sz="8" w:space="0"/>
            </w:tcBorders>
            <w:shd w:val="clear" w:color="auto" w:fill="auto"/>
            <w:tcMar>
              <w:left w:w="108" w:type="dxa"/>
              <w:right w:w="108" w:type="dxa"/>
            </w:tcMar>
            <w:vAlign w:val="center"/>
          </w:tcPr>
          <w:p w14:paraId="3840369A">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提高医院服务水平</w:t>
            </w:r>
          </w:p>
        </w:tc>
        <w:tc>
          <w:tcPr>
            <w:tcW w:w="711" w:type="pct"/>
            <w:tcBorders>
              <w:top w:val="nil"/>
              <w:left w:val="nil"/>
              <w:bottom w:val="single" w:color="auto" w:sz="8" w:space="0"/>
              <w:right w:val="single" w:color="auto" w:sz="8" w:space="0"/>
            </w:tcBorders>
            <w:shd w:val="clear" w:color="auto" w:fill="auto"/>
            <w:tcMar>
              <w:left w:w="108" w:type="dxa"/>
              <w:right w:w="108" w:type="dxa"/>
            </w:tcMar>
            <w:vAlign w:val="center"/>
          </w:tcPr>
          <w:p w14:paraId="610B62A7">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有所提高</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center"/>
          </w:tcPr>
          <w:p w14:paraId="4C3C4B5F">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rPr>
            </w:pPr>
            <w:r>
              <w:rPr>
                <w:rFonts w:hint="eastAsia" w:ascii="仿宋" w:hAnsi="仿宋" w:eastAsia="仿宋" w:cs="仿宋"/>
                <w:kern w:val="0"/>
                <w:sz w:val="18"/>
                <w:szCs w:val="18"/>
                <w:lang w:val="en-US" w:eastAsia="zh-CN"/>
              </w:rPr>
              <w:t>有所提高</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1BFB019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15</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center"/>
          </w:tcPr>
          <w:p w14:paraId="3B789E2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15</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top"/>
          </w:tcPr>
          <w:p w14:paraId="3AAC30A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382A5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642" w:hRule="atLeast"/>
          <w:jc w:val="center"/>
        </w:trPr>
        <w:tc>
          <w:tcPr>
            <w:tcW w:w="49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24E8CE4">
            <w:pPr>
              <w:snapToGrid w:val="0"/>
              <w:rPr>
                <w:rFonts w:hint="eastAsia" w:ascii="仿宋" w:hAnsi="仿宋" w:eastAsia="仿宋" w:cs="仿宋"/>
                <w:sz w:val="20"/>
                <w:szCs w:val="20"/>
              </w:rPr>
            </w:pPr>
          </w:p>
        </w:tc>
        <w:tc>
          <w:tcPr>
            <w:tcW w:w="447" w:type="pct"/>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2CEEE296">
            <w:pPr>
              <w:snapToGrid w:val="0"/>
              <w:rPr>
                <w:rFonts w:hint="eastAsia" w:ascii="仿宋" w:hAnsi="仿宋" w:eastAsia="仿宋" w:cs="仿宋"/>
                <w:sz w:val="20"/>
                <w:szCs w:val="20"/>
              </w:rPr>
            </w:pPr>
          </w:p>
        </w:tc>
        <w:tc>
          <w:tcPr>
            <w:tcW w:w="724" w:type="pct"/>
            <w:tcBorders>
              <w:top w:val="nil"/>
              <w:left w:val="nil"/>
              <w:bottom w:val="single" w:color="auto" w:sz="8" w:space="0"/>
              <w:right w:val="single" w:color="auto" w:sz="8" w:space="0"/>
            </w:tcBorders>
            <w:shd w:val="clear" w:color="auto" w:fill="auto"/>
            <w:tcMar>
              <w:left w:w="108" w:type="dxa"/>
              <w:right w:w="108" w:type="dxa"/>
            </w:tcMar>
            <w:vAlign w:val="center"/>
          </w:tcPr>
          <w:p w14:paraId="15544A29">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可持续影响 指   标</w:t>
            </w:r>
          </w:p>
        </w:tc>
        <w:tc>
          <w:tcPr>
            <w:tcW w:w="743" w:type="pct"/>
            <w:tcBorders>
              <w:top w:val="nil"/>
              <w:left w:val="nil"/>
              <w:bottom w:val="single" w:color="auto" w:sz="8" w:space="0"/>
              <w:right w:val="single" w:color="auto" w:sz="8" w:space="0"/>
            </w:tcBorders>
            <w:shd w:val="clear" w:color="auto" w:fill="auto"/>
            <w:tcMar>
              <w:left w:w="108" w:type="dxa"/>
              <w:right w:w="108" w:type="dxa"/>
            </w:tcMar>
            <w:vAlign w:val="center"/>
          </w:tcPr>
          <w:p w14:paraId="079B3073">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可持续影响良好</w:t>
            </w:r>
          </w:p>
        </w:tc>
        <w:tc>
          <w:tcPr>
            <w:tcW w:w="711" w:type="pct"/>
            <w:tcBorders>
              <w:top w:val="nil"/>
              <w:left w:val="nil"/>
              <w:bottom w:val="single" w:color="auto" w:sz="8" w:space="0"/>
              <w:right w:val="single" w:color="auto" w:sz="8" w:space="0"/>
            </w:tcBorders>
            <w:shd w:val="clear" w:color="auto" w:fill="auto"/>
            <w:tcMar>
              <w:left w:w="108" w:type="dxa"/>
              <w:right w:w="108" w:type="dxa"/>
            </w:tcMar>
            <w:vAlign w:val="center"/>
          </w:tcPr>
          <w:p w14:paraId="5C432DF1">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良好</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center"/>
          </w:tcPr>
          <w:p w14:paraId="2EB00D2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lang w:val="en-US" w:eastAsia="zh-CN"/>
              </w:rPr>
              <w:t>良好</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415E9C0E">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center"/>
          </w:tcPr>
          <w:p w14:paraId="1DE7604F">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top"/>
          </w:tcPr>
          <w:p w14:paraId="04BB4307">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619A6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684" w:hRule="atLeast"/>
          <w:jc w:val="center"/>
        </w:trPr>
        <w:tc>
          <w:tcPr>
            <w:tcW w:w="491"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E7E008D">
            <w:pPr>
              <w:snapToGrid w:val="0"/>
              <w:rPr>
                <w:rFonts w:hint="eastAsia" w:ascii="仿宋" w:hAnsi="仿宋" w:eastAsia="仿宋" w:cs="仿宋"/>
                <w:sz w:val="20"/>
                <w:szCs w:val="20"/>
              </w:rPr>
            </w:pPr>
          </w:p>
        </w:tc>
        <w:tc>
          <w:tcPr>
            <w:tcW w:w="447" w:type="pct"/>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882CD4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满意度 指  标（20）</w:t>
            </w:r>
          </w:p>
        </w:tc>
        <w:tc>
          <w:tcPr>
            <w:tcW w:w="724" w:type="pct"/>
            <w:tcBorders>
              <w:top w:val="nil"/>
              <w:left w:val="nil"/>
              <w:bottom w:val="single" w:color="auto" w:sz="8" w:space="0"/>
              <w:right w:val="single" w:color="auto" w:sz="8" w:space="0"/>
            </w:tcBorders>
            <w:shd w:val="clear" w:color="auto" w:fill="auto"/>
            <w:tcMar>
              <w:left w:w="108" w:type="dxa"/>
              <w:right w:w="108" w:type="dxa"/>
            </w:tcMar>
            <w:vAlign w:val="center"/>
          </w:tcPr>
          <w:p w14:paraId="55A343D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服务对象满意度指标</w:t>
            </w:r>
          </w:p>
        </w:tc>
        <w:tc>
          <w:tcPr>
            <w:tcW w:w="743" w:type="pct"/>
            <w:tcBorders>
              <w:top w:val="nil"/>
              <w:left w:val="nil"/>
              <w:bottom w:val="single" w:color="auto" w:sz="8" w:space="0"/>
              <w:right w:val="single" w:color="auto" w:sz="8" w:space="0"/>
            </w:tcBorders>
            <w:shd w:val="clear" w:color="auto" w:fill="auto"/>
            <w:tcMar>
              <w:left w:w="108" w:type="dxa"/>
              <w:right w:w="108" w:type="dxa"/>
            </w:tcMar>
            <w:vAlign w:val="center"/>
          </w:tcPr>
          <w:p w14:paraId="7F617601">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rPr>
            </w:pPr>
            <w:r>
              <w:rPr>
                <w:rFonts w:hint="eastAsia" w:ascii="仿宋" w:hAnsi="仿宋" w:eastAsia="仿宋" w:cs="仿宋"/>
                <w:kern w:val="0"/>
                <w:sz w:val="18"/>
                <w:szCs w:val="18"/>
                <w:lang w:val="en-US" w:eastAsia="zh-CN"/>
              </w:rPr>
              <w:t>创新主体满意度</w:t>
            </w:r>
          </w:p>
        </w:tc>
        <w:tc>
          <w:tcPr>
            <w:tcW w:w="711" w:type="pct"/>
            <w:tcBorders>
              <w:top w:val="nil"/>
              <w:left w:val="nil"/>
              <w:bottom w:val="single" w:color="auto" w:sz="8" w:space="0"/>
              <w:right w:val="single" w:color="auto" w:sz="8" w:space="0"/>
            </w:tcBorders>
            <w:shd w:val="clear" w:color="auto" w:fill="auto"/>
            <w:tcMar>
              <w:left w:w="108" w:type="dxa"/>
              <w:right w:w="108" w:type="dxa"/>
            </w:tcMar>
            <w:vAlign w:val="center"/>
          </w:tcPr>
          <w:p w14:paraId="7AB8BFBB">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90</w:t>
            </w:r>
          </w:p>
        </w:tc>
        <w:tc>
          <w:tcPr>
            <w:tcW w:w="652" w:type="pct"/>
            <w:tcBorders>
              <w:top w:val="nil"/>
              <w:left w:val="nil"/>
              <w:bottom w:val="single" w:color="auto" w:sz="8" w:space="0"/>
              <w:right w:val="single" w:color="auto" w:sz="8" w:space="0"/>
            </w:tcBorders>
            <w:shd w:val="clear" w:color="auto" w:fill="auto"/>
            <w:tcMar>
              <w:left w:w="108" w:type="dxa"/>
              <w:right w:w="108" w:type="dxa"/>
            </w:tcMar>
            <w:vAlign w:val="center"/>
          </w:tcPr>
          <w:p w14:paraId="4FCEC09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90</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47619BC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20</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center"/>
          </w:tcPr>
          <w:p w14:paraId="1FC4B575">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20</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top"/>
          </w:tcPr>
          <w:p w14:paraId="334984A6">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2ADA1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52" w:hRule="atLeast"/>
          <w:jc w:val="center"/>
        </w:trPr>
        <w:tc>
          <w:tcPr>
            <w:tcW w:w="3771" w:type="pct"/>
            <w:gridSpan w:val="7"/>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7F2E15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总    分</w:t>
            </w:r>
          </w:p>
        </w:tc>
        <w:tc>
          <w:tcPr>
            <w:tcW w:w="376" w:type="pct"/>
            <w:tcBorders>
              <w:top w:val="nil"/>
              <w:left w:val="nil"/>
              <w:bottom w:val="single" w:color="auto" w:sz="8" w:space="0"/>
              <w:right w:val="single" w:color="auto" w:sz="8" w:space="0"/>
            </w:tcBorders>
            <w:shd w:val="clear" w:color="auto" w:fill="auto"/>
            <w:tcMar>
              <w:left w:w="108" w:type="dxa"/>
              <w:right w:w="108" w:type="dxa"/>
            </w:tcMar>
            <w:vAlign w:val="center"/>
          </w:tcPr>
          <w:p w14:paraId="3E52DF4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100</w:t>
            </w:r>
          </w:p>
        </w:tc>
        <w:tc>
          <w:tcPr>
            <w:tcW w:w="350" w:type="pct"/>
            <w:tcBorders>
              <w:top w:val="nil"/>
              <w:left w:val="nil"/>
              <w:bottom w:val="single" w:color="auto" w:sz="8" w:space="0"/>
              <w:right w:val="single" w:color="auto" w:sz="8" w:space="0"/>
            </w:tcBorders>
            <w:shd w:val="clear" w:color="auto" w:fill="auto"/>
            <w:tcMar>
              <w:left w:w="108" w:type="dxa"/>
              <w:right w:w="108" w:type="dxa"/>
            </w:tcMar>
            <w:vAlign w:val="center"/>
          </w:tcPr>
          <w:p w14:paraId="202C8795">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100</w:t>
            </w:r>
          </w:p>
        </w:tc>
        <w:tc>
          <w:tcPr>
            <w:tcW w:w="501" w:type="pct"/>
            <w:tcBorders>
              <w:top w:val="nil"/>
              <w:left w:val="nil"/>
              <w:bottom w:val="single" w:color="auto" w:sz="8" w:space="0"/>
              <w:right w:val="single" w:color="auto" w:sz="8" w:space="0"/>
            </w:tcBorders>
            <w:shd w:val="clear" w:color="auto" w:fill="auto"/>
            <w:tcMar>
              <w:left w:w="108" w:type="dxa"/>
              <w:right w:w="108" w:type="dxa"/>
            </w:tcMar>
            <w:vAlign w:val="center"/>
          </w:tcPr>
          <w:p w14:paraId="5A720AEB">
            <w:pPr>
              <w:keepNext w:val="0"/>
              <w:keepLines w:val="0"/>
              <w:widowControl/>
              <w:suppressLineNumbers w:val="0"/>
              <w:snapToGrid w:val="0"/>
              <w:spacing w:before="0" w:beforeAutospacing="1" w:after="0" w:afterAutospacing="1"/>
              <w:ind w:left="0" w:right="0"/>
              <w:rPr>
                <w:rFonts w:hint="eastAsia" w:ascii="仿宋" w:hAnsi="仿宋" w:eastAsia="仿宋" w:cs="仿宋"/>
                <w:kern w:val="0"/>
                <w:sz w:val="24"/>
                <w:szCs w:val="24"/>
              </w:rPr>
            </w:pPr>
            <w:r>
              <w:rPr>
                <w:rFonts w:hint="eastAsia" w:ascii="仿宋" w:hAnsi="仿宋" w:eastAsia="仿宋" w:cs="仿宋"/>
                <w:kern w:val="0"/>
                <w:sz w:val="18"/>
                <w:szCs w:val="18"/>
              </w:rPr>
              <w:t>　</w:t>
            </w:r>
          </w:p>
        </w:tc>
      </w:tr>
    </w:tbl>
    <w:p w14:paraId="11396E8B"/>
    <w:p w14:paraId="162ADB55"/>
    <w:p w14:paraId="64EDB87B"/>
    <w:p w14:paraId="404CABD8"/>
    <w:p w14:paraId="017CBCBA"/>
    <w:p w14:paraId="53434448"/>
    <w:tbl>
      <w:tblPr>
        <w:tblStyle w:val="18"/>
        <w:tblW w:w="101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46"/>
        <w:gridCol w:w="443"/>
        <w:gridCol w:w="403"/>
        <w:gridCol w:w="93"/>
        <w:gridCol w:w="863"/>
        <w:gridCol w:w="381"/>
        <w:gridCol w:w="993"/>
        <w:gridCol w:w="143"/>
        <w:gridCol w:w="744"/>
        <w:gridCol w:w="114"/>
        <w:gridCol w:w="857"/>
        <w:gridCol w:w="47"/>
        <w:gridCol w:w="62"/>
        <w:gridCol w:w="491"/>
        <w:gridCol w:w="437"/>
        <w:gridCol w:w="111"/>
        <w:gridCol w:w="33"/>
        <w:gridCol w:w="447"/>
        <w:gridCol w:w="36"/>
        <w:gridCol w:w="137"/>
        <w:gridCol w:w="550"/>
        <w:gridCol w:w="345"/>
        <w:gridCol w:w="1514"/>
        <w:gridCol w:w="12"/>
      </w:tblGrid>
      <w:tr w14:paraId="18F9B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2" w:type="dxa"/>
          <w:trHeight w:val="454" w:hRule="atLeast"/>
          <w:jc w:val="center"/>
        </w:trPr>
        <w:tc>
          <w:tcPr>
            <w:tcW w:w="10090" w:type="dxa"/>
            <w:gridSpan w:val="23"/>
            <w:tcBorders>
              <w:top w:val="nil"/>
              <w:left w:val="nil"/>
              <w:bottom w:val="nil"/>
              <w:right w:val="nil"/>
            </w:tcBorders>
            <w:shd w:val="clear" w:color="auto" w:fill="auto"/>
            <w:tcMar>
              <w:left w:w="108" w:type="dxa"/>
              <w:right w:w="108" w:type="dxa"/>
            </w:tcMar>
            <w:vAlign w:val="center"/>
          </w:tcPr>
          <w:p w14:paraId="21D8EC87">
            <w:pPr>
              <w:keepNext w:val="0"/>
              <w:keepLines w:val="0"/>
              <w:widowControl/>
              <w:suppressLineNumbers w:val="0"/>
              <w:spacing w:before="0" w:beforeAutospacing="1" w:after="0" w:afterAutospacing="1"/>
              <w:ind w:left="0" w:right="0"/>
              <w:jc w:val="center"/>
              <w:rPr>
                <w:rFonts w:hint="eastAsia" w:ascii="仿宋" w:hAnsi="仿宋" w:eastAsia="仿宋" w:cs="仿宋"/>
                <w:kern w:val="0"/>
                <w:sz w:val="28"/>
                <w:szCs w:val="28"/>
              </w:rPr>
            </w:pPr>
            <w:r>
              <w:rPr>
                <w:rFonts w:hint="eastAsia" w:ascii="仿宋" w:hAnsi="仿宋" w:eastAsia="仿宋" w:cs="仿宋"/>
                <w:spacing w:val="20"/>
                <w:kern w:val="0"/>
                <w:sz w:val="28"/>
                <w:szCs w:val="28"/>
              </w:rPr>
              <w:t>项目支出绩效自评表</w:t>
            </w:r>
          </w:p>
        </w:tc>
      </w:tr>
      <w:tr w14:paraId="6FD18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2" w:type="dxa"/>
          <w:trHeight w:val="439" w:hRule="atLeast"/>
          <w:jc w:val="center"/>
        </w:trPr>
        <w:tc>
          <w:tcPr>
            <w:tcW w:w="10090" w:type="dxa"/>
            <w:gridSpan w:val="23"/>
            <w:tcBorders>
              <w:top w:val="nil"/>
              <w:left w:val="nil"/>
              <w:bottom w:val="nil"/>
              <w:right w:val="nil"/>
            </w:tcBorders>
            <w:shd w:val="clear" w:color="auto" w:fill="auto"/>
            <w:tcMar>
              <w:left w:w="108" w:type="dxa"/>
              <w:right w:w="108" w:type="dxa"/>
            </w:tcMar>
            <w:vAlign w:val="top"/>
          </w:tcPr>
          <w:p w14:paraId="6A394D0F">
            <w:pPr>
              <w:keepNext w:val="0"/>
              <w:keepLines w:val="0"/>
              <w:widowControl/>
              <w:suppressLineNumbers w:val="0"/>
              <w:spacing w:before="0" w:beforeAutospacing="1" w:after="0" w:afterAutospacing="1"/>
              <w:ind w:left="0" w:right="0"/>
              <w:jc w:val="center"/>
              <w:rPr>
                <w:rFonts w:hint="eastAsia" w:ascii="仿宋" w:hAnsi="仿宋" w:eastAsia="仿宋" w:cs="仿宋"/>
                <w:kern w:val="0"/>
                <w:sz w:val="28"/>
                <w:szCs w:val="28"/>
              </w:rPr>
            </w:pPr>
            <w:r>
              <w:rPr>
                <w:rFonts w:hint="eastAsia" w:ascii="仿宋" w:hAnsi="仿宋" w:eastAsia="仿宋" w:cs="仿宋"/>
                <w:kern w:val="0"/>
                <w:sz w:val="28"/>
                <w:szCs w:val="28"/>
              </w:rPr>
              <w:t>（202</w:t>
            </w:r>
            <w:r>
              <w:rPr>
                <w:rFonts w:hint="eastAsia" w:ascii="仿宋" w:hAnsi="仿宋" w:eastAsia="仿宋" w:cs="仿宋"/>
                <w:kern w:val="0"/>
                <w:sz w:val="28"/>
                <w:szCs w:val="28"/>
                <w:lang w:val="en-US" w:eastAsia="zh-CN"/>
              </w:rPr>
              <w:t>5</w:t>
            </w:r>
            <w:r>
              <w:rPr>
                <w:rFonts w:hint="eastAsia" w:ascii="仿宋" w:hAnsi="仿宋" w:eastAsia="仿宋" w:cs="仿宋"/>
                <w:kern w:val="0"/>
                <w:sz w:val="28"/>
                <w:szCs w:val="28"/>
              </w:rPr>
              <w:t>年度）</w:t>
            </w:r>
          </w:p>
        </w:tc>
      </w:tr>
      <w:tr w14:paraId="2E6AD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2" w:type="dxa"/>
          <w:trHeight w:val="439" w:hRule="atLeast"/>
          <w:jc w:val="center"/>
        </w:trPr>
        <w:tc>
          <w:tcPr>
            <w:tcW w:w="26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FD654B7">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项目名称</w:t>
            </w:r>
          </w:p>
        </w:tc>
        <w:tc>
          <w:tcPr>
            <w:tcW w:w="7442" w:type="dxa"/>
            <w:gridSpan w:val="18"/>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2402816">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eastAsia="zh-CN"/>
              </w:rPr>
              <w:t>新冠患者救治</w:t>
            </w:r>
            <w:r>
              <w:rPr>
                <w:rFonts w:hint="eastAsia" w:ascii="仿宋" w:hAnsi="仿宋" w:eastAsia="仿宋" w:cs="仿宋"/>
                <w:kern w:val="0"/>
                <w:sz w:val="18"/>
                <w:szCs w:val="18"/>
                <w:lang w:val="en-US" w:eastAsia="zh-CN"/>
              </w:rPr>
              <w:t>补助</w:t>
            </w:r>
          </w:p>
        </w:tc>
      </w:tr>
      <w:tr w14:paraId="0255D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2" w:type="dxa"/>
          <w:trHeight w:val="505" w:hRule="atLeast"/>
          <w:jc w:val="center"/>
        </w:trPr>
        <w:tc>
          <w:tcPr>
            <w:tcW w:w="2648" w:type="dxa"/>
            <w:gridSpan w:val="5"/>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C4133F9">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主管部门</w:t>
            </w:r>
          </w:p>
        </w:tc>
        <w:tc>
          <w:tcPr>
            <w:tcW w:w="3279" w:type="dxa"/>
            <w:gridSpan w:val="7"/>
            <w:tcBorders>
              <w:top w:val="nil"/>
              <w:left w:val="nil"/>
              <w:bottom w:val="single" w:color="auto" w:sz="8" w:space="0"/>
              <w:right w:val="single" w:color="auto" w:sz="8" w:space="0"/>
            </w:tcBorders>
            <w:shd w:val="clear" w:color="auto" w:fill="auto"/>
            <w:tcMar>
              <w:left w:w="108" w:type="dxa"/>
              <w:right w:w="108" w:type="dxa"/>
            </w:tcMar>
            <w:vAlign w:val="center"/>
          </w:tcPr>
          <w:p w14:paraId="1AB775F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呼伦贝尔市卫生健康委员会</w:t>
            </w:r>
          </w:p>
        </w:tc>
        <w:tc>
          <w:tcPr>
            <w:tcW w:w="1101"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046C9D3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实施单位</w:t>
            </w:r>
          </w:p>
        </w:tc>
        <w:tc>
          <w:tcPr>
            <w:tcW w:w="3062" w:type="dxa"/>
            <w:gridSpan w:val="7"/>
            <w:tcBorders>
              <w:top w:val="nil"/>
              <w:left w:val="nil"/>
              <w:bottom w:val="single" w:color="auto" w:sz="8" w:space="0"/>
              <w:right w:val="single" w:color="auto" w:sz="8" w:space="0"/>
            </w:tcBorders>
            <w:shd w:val="clear" w:color="auto" w:fill="auto"/>
            <w:tcMar>
              <w:left w:w="108" w:type="dxa"/>
              <w:right w:w="108" w:type="dxa"/>
            </w:tcMar>
            <w:vAlign w:val="top"/>
          </w:tcPr>
          <w:p w14:paraId="60F2D2E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rPr>
              <w:t>呼伦贝尔市</w:t>
            </w:r>
            <w:r>
              <w:rPr>
                <w:rFonts w:hint="eastAsia" w:ascii="仿宋" w:hAnsi="仿宋" w:eastAsia="仿宋" w:cs="仿宋"/>
                <w:kern w:val="0"/>
                <w:sz w:val="18"/>
                <w:szCs w:val="18"/>
                <w:lang w:val="en-US" w:eastAsia="zh-CN"/>
              </w:rPr>
              <w:t>第二人民</w:t>
            </w:r>
            <w:r>
              <w:rPr>
                <w:rFonts w:hint="eastAsia" w:ascii="仿宋" w:hAnsi="仿宋" w:eastAsia="仿宋" w:cs="仿宋"/>
                <w:kern w:val="0"/>
                <w:sz w:val="18"/>
                <w:szCs w:val="18"/>
              </w:rPr>
              <w:t>医院</w:t>
            </w:r>
            <w:r>
              <w:rPr>
                <w:rFonts w:hint="eastAsia" w:ascii="仿宋" w:hAnsi="仿宋" w:eastAsia="仿宋" w:cs="仿宋"/>
                <w:kern w:val="0"/>
                <w:sz w:val="18"/>
                <w:szCs w:val="18"/>
                <w:lang w:val="en-US" w:eastAsia="zh-CN"/>
              </w:rPr>
              <w:t xml:space="preserve">      </w:t>
            </w:r>
            <w:r>
              <w:rPr>
                <w:rFonts w:hint="eastAsia" w:ascii="仿宋" w:hAnsi="仿宋" w:eastAsia="仿宋" w:cs="仿宋"/>
                <w:kern w:val="0"/>
                <w:sz w:val="18"/>
                <w:szCs w:val="18"/>
                <w:lang w:eastAsia="zh-CN"/>
              </w:rPr>
              <w:t>（</w:t>
            </w:r>
            <w:r>
              <w:rPr>
                <w:rFonts w:hint="eastAsia" w:ascii="仿宋" w:hAnsi="仿宋" w:eastAsia="仿宋" w:cs="仿宋"/>
                <w:kern w:val="0"/>
                <w:sz w:val="18"/>
                <w:szCs w:val="18"/>
                <w:lang w:val="en-US" w:eastAsia="zh-CN"/>
              </w:rPr>
              <w:t>呼伦贝尔市传染病医院</w:t>
            </w:r>
            <w:r>
              <w:rPr>
                <w:rFonts w:hint="eastAsia" w:ascii="仿宋" w:hAnsi="仿宋" w:eastAsia="仿宋" w:cs="仿宋"/>
                <w:kern w:val="0"/>
                <w:sz w:val="18"/>
                <w:szCs w:val="18"/>
                <w:lang w:eastAsia="zh-CN"/>
              </w:rPr>
              <w:t>）</w:t>
            </w:r>
          </w:p>
        </w:tc>
      </w:tr>
      <w:tr w14:paraId="77539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2" w:type="dxa"/>
          <w:trHeight w:val="505" w:hRule="atLeast"/>
          <w:jc w:val="center"/>
        </w:trPr>
        <w:tc>
          <w:tcPr>
            <w:tcW w:w="2648" w:type="dxa"/>
            <w:gridSpan w:val="5"/>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C85EF8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项目资金（万元）</w:t>
            </w:r>
          </w:p>
        </w:tc>
        <w:tc>
          <w:tcPr>
            <w:tcW w:w="1517" w:type="dxa"/>
            <w:gridSpan w:val="3"/>
            <w:tcBorders>
              <w:top w:val="nil"/>
              <w:left w:val="nil"/>
              <w:bottom w:val="single" w:color="auto" w:sz="8" w:space="0"/>
              <w:right w:val="single" w:color="auto" w:sz="8" w:space="0"/>
            </w:tcBorders>
            <w:shd w:val="clear" w:color="auto" w:fill="auto"/>
            <w:tcMar>
              <w:left w:w="108" w:type="dxa"/>
              <w:right w:w="108" w:type="dxa"/>
            </w:tcMar>
            <w:vAlign w:val="top"/>
          </w:tcPr>
          <w:p w14:paraId="0EC69BD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　</w:t>
            </w:r>
          </w:p>
        </w:tc>
        <w:tc>
          <w:tcPr>
            <w:tcW w:w="858" w:type="dxa"/>
            <w:gridSpan w:val="2"/>
            <w:tcBorders>
              <w:top w:val="nil"/>
              <w:left w:val="nil"/>
              <w:bottom w:val="single" w:color="auto" w:sz="8" w:space="0"/>
              <w:right w:val="single" w:color="auto" w:sz="8" w:space="0"/>
            </w:tcBorders>
            <w:shd w:val="clear" w:color="auto" w:fill="auto"/>
            <w:tcMar>
              <w:left w:w="108" w:type="dxa"/>
              <w:right w:w="108" w:type="dxa"/>
            </w:tcMar>
            <w:vAlign w:val="top"/>
          </w:tcPr>
          <w:p w14:paraId="73619BA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年初预算数</w:t>
            </w:r>
          </w:p>
        </w:tc>
        <w:tc>
          <w:tcPr>
            <w:tcW w:w="904" w:type="dxa"/>
            <w:gridSpan w:val="2"/>
            <w:tcBorders>
              <w:top w:val="nil"/>
              <w:left w:val="nil"/>
              <w:bottom w:val="single" w:color="auto" w:sz="8" w:space="0"/>
              <w:right w:val="single" w:color="auto" w:sz="8" w:space="0"/>
            </w:tcBorders>
            <w:shd w:val="clear" w:color="auto" w:fill="auto"/>
            <w:tcMar>
              <w:left w:w="108" w:type="dxa"/>
              <w:right w:w="108" w:type="dxa"/>
            </w:tcMar>
            <w:vAlign w:val="top"/>
          </w:tcPr>
          <w:p w14:paraId="2C203CE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全年预算数</w:t>
            </w:r>
          </w:p>
        </w:tc>
        <w:tc>
          <w:tcPr>
            <w:tcW w:w="1101" w:type="dxa"/>
            <w:gridSpan w:val="4"/>
            <w:tcBorders>
              <w:top w:val="nil"/>
              <w:left w:val="nil"/>
              <w:bottom w:val="single" w:color="auto" w:sz="8" w:space="0"/>
              <w:right w:val="single" w:color="auto" w:sz="8" w:space="0"/>
            </w:tcBorders>
            <w:shd w:val="clear" w:color="auto" w:fill="auto"/>
            <w:tcMar>
              <w:left w:w="108" w:type="dxa"/>
              <w:right w:w="108" w:type="dxa"/>
            </w:tcMar>
            <w:vAlign w:val="top"/>
          </w:tcPr>
          <w:p w14:paraId="6C15CFF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全年执行数</w:t>
            </w:r>
          </w:p>
        </w:tc>
        <w:tc>
          <w:tcPr>
            <w:tcW w:w="653"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3CB4D56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分值</w:t>
            </w:r>
          </w:p>
        </w:tc>
        <w:tc>
          <w:tcPr>
            <w:tcW w:w="89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391BF7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执行率</w:t>
            </w:r>
          </w:p>
        </w:tc>
        <w:tc>
          <w:tcPr>
            <w:tcW w:w="1514" w:type="dxa"/>
            <w:tcBorders>
              <w:top w:val="nil"/>
              <w:left w:val="nil"/>
              <w:bottom w:val="single" w:color="auto" w:sz="8" w:space="0"/>
              <w:right w:val="single" w:color="auto" w:sz="8" w:space="0"/>
            </w:tcBorders>
            <w:shd w:val="clear" w:color="auto" w:fill="auto"/>
            <w:tcMar>
              <w:left w:w="108" w:type="dxa"/>
              <w:right w:w="108" w:type="dxa"/>
            </w:tcMar>
            <w:vAlign w:val="center"/>
          </w:tcPr>
          <w:p w14:paraId="2D7628D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得分</w:t>
            </w:r>
          </w:p>
        </w:tc>
      </w:tr>
      <w:tr w14:paraId="3C62F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2" w:type="dxa"/>
          <w:trHeight w:val="415" w:hRule="atLeast"/>
          <w:jc w:val="center"/>
        </w:trPr>
        <w:tc>
          <w:tcPr>
            <w:tcW w:w="2648" w:type="dxa"/>
            <w:gridSpan w:val="5"/>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2BF1717">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1517"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2D59D296">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年度资金总额</w:t>
            </w:r>
          </w:p>
        </w:tc>
        <w:tc>
          <w:tcPr>
            <w:tcW w:w="85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57EA81E">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w:t>
            </w:r>
          </w:p>
        </w:tc>
        <w:tc>
          <w:tcPr>
            <w:tcW w:w="90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241F8B7">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35.84</w:t>
            </w:r>
          </w:p>
        </w:tc>
        <w:tc>
          <w:tcPr>
            <w:tcW w:w="1101"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6EB59AA8">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29.85</w:t>
            </w:r>
          </w:p>
        </w:tc>
        <w:tc>
          <w:tcPr>
            <w:tcW w:w="653"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5587255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10</w:t>
            </w:r>
          </w:p>
        </w:tc>
        <w:tc>
          <w:tcPr>
            <w:tcW w:w="89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67774AE7">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lang w:val="en-US" w:eastAsia="zh-CN"/>
              </w:rPr>
              <w:t>83.29</w:t>
            </w:r>
            <w:r>
              <w:rPr>
                <w:rFonts w:hint="eastAsia" w:ascii="仿宋" w:hAnsi="仿宋" w:eastAsia="仿宋" w:cs="仿宋"/>
                <w:kern w:val="0"/>
                <w:sz w:val="18"/>
                <w:szCs w:val="18"/>
              </w:rPr>
              <w:t>%</w:t>
            </w:r>
          </w:p>
        </w:tc>
        <w:tc>
          <w:tcPr>
            <w:tcW w:w="1514" w:type="dxa"/>
            <w:tcBorders>
              <w:top w:val="nil"/>
              <w:left w:val="nil"/>
              <w:bottom w:val="single" w:color="auto" w:sz="8" w:space="0"/>
              <w:right w:val="single" w:color="auto" w:sz="8" w:space="0"/>
            </w:tcBorders>
            <w:shd w:val="clear" w:color="auto" w:fill="auto"/>
            <w:tcMar>
              <w:left w:w="108" w:type="dxa"/>
              <w:right w:w="108" w:type="dxa"/>
            </w:tcMar>
            <w:vAlign w:val="center"/>
          </w:tcPr>
          <w:p w14:paraId="0EE99DBF">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rPr>
            </w:pPr>
            <w:r>
              <w:rPr>
                <w:rFonts w:hint="eastAsia" w:ascii="仿宋" w:hAnsi="仿宋" w:eastAsia="仿宋" w:cs="仿宋"/>
                <w:kern w:val="0"/>
                <w:sz w:val="18"/>
                <w:szCs w:val="18"/>
                <w:lang w:val="en-US" w:eastAsia="zh-CN"/>
              </w:rPr>
              <w:t>8.33</w:t>
            </w:r>
          </w:p>
        </w:tc>
      </w:tr>
      <w:tr w14:paraId="37539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2" w:type="dxa"/>
          <w:trHeight w:val="415" w:hRule="atLeast"/>
          <w:jc w:val="center"/>
        </w:trPr>
        <w:tc>
          <w:tcPr>
            <w:tcW w:w="2648" w:type="dxa"/>
            <w:gridSpan w:val="5"/>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7DB5649">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1517"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698FDA2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其中：财政拨款</w:t>
            </w:r>
          </w:p>
        </w:tc>
        <w:tc>
          <w:tcPr>
            <w:tcW w:w="85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020BD2B">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w:t>
            </w:r>
          </w:p>
        </w:tc>
        <w:tc>
          <w:tcPr>
            <w:tcW w:w="90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1C72689">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35.84</w:t>
            </w:r>
          </w:p>
        </w:tc>
        <w:tc>
          <w:tcPr>
            <w:tcW w:w="1101"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4DDF2573">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29.85</w:t>
            </w:r>
          </w:p>
        </w:tc>
        <w:tc>
          <w:tcPr>
            <w:tcW w:w="653"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4DC00A8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w:t>
            </w:r>
          </w:p>
        </w:tc>
        <w:tc>
          <w:tcPr>
            <w:tcW w:w="89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D8F67E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lang w:val="en-US" w:eastAsia="zh-CN"/>
              </w:rPr>
              <w:t>83.29</w:t>
            </w:r>
            <w:r>
              <w:rPr>
                <w:rFonts w:hint="eastAsia" w:ascii="仿宋" w:hAnsi="仿宋" w:eastAsia="仿宋" w:cs="仿宋"/>
                <w:kern w:val="0"/>
                <w:sz w:val="18"/>
                <w:szCs w:val="18"/>
              </w:rPr>
              <w:t>%</w:t>
            </w:r>
          </w:p>
        </w:tc>
        <w:tc>
          <w:tcPr>
            <w:tcW w:w="1514" w:type="dxa"/>
            <w:tcBorders>
              <w:top w:val="nil"/>
              <w:left w:val="nil"/>
              <w:bottom w:val="single" w:color="auto" w:sz="8" w:space="0"/>
              <w:right w:val="single" w:color="auto" w:sz="8" w:space="0"/>
            </w:tcBorders>
            <w:shd w:val="clear" w:color="auto" w:fill="auto"/>
            <w:tcMar>
              <w:left w:w="108" w:type="dxa"/>
              <w:right w:w="108" w:type="dxa"/>
            </w:tcMar>
            <w:vAlign w:val="center"/>
          </w:tcPr>
          <w:p w14:paraId="460EFD1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w:t>
            </w:r>
          </w:p>
        </w:tc>
      </w:tr>
      <w:tr w14:paraId="48218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2" w:type="dxa"/>
          <w:trHeight w:val="482" w:hRule="atLeast"/>
          <w:jc w:val="center"/>
        </w:trPr>
        <w:tc>
          <w:tcPr>
            <w:tcW w:w="2648" w:type="dxa"/>
            <w:gridSpan w:val="5"/>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FD4A5E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1517"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78B6D0F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  其他资金</w:t>
            </w:r>
          </w:p>
        </w:tc>
        <w:tc>
          <w:tcPr>
            <w:tcW w:w="85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45D9CB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90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2B858C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1101"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64458A4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653"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15DB2B1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w:t>
            </w:r>
          </w:p>
        </w:tc>
        <w:tc>
          <w:tcPr>
            <w:tcW w:w="89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5A801F0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1514" w:type="dxa"/>
            <w:tcBorders>
              <w:top w:val="nil"/>
              <w:left w:val="nil"/>
              <w:bottom w:val="single" w:color="auto" w:sz="8" w:space="0"/>
              <w:right w:val="single" w:color="auto" w:sz="8" w:space="0"/>
            </w:tcBorders>
            <w:shd w:val="clear" w:color="auto" w:fill="auto"/>
            <w:tcMar>
              <w:left w:w="108" w:type="dxa"/>
              <w:right w:w="108" w:type="dxa"/>
            </w:tcMar>
            <w:vAlign w:val="center"/>
          </w:tcPr>
          <w:p w14:paraId="4AABACC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w:t>
            </w:r>
          </w:p>
        </w:tc>
      </w:tr>
      <w:tr w14:paraId="5F4AB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2" w:type="dxa"/>
          <w:trHeight w:val="435" w:hRule="atLeast"/>
          <w:jc w:val="center"/>
        </w:trPr>
        <w:tc>
          <w:tcPr>
            <w:tcW w:w="1785" w:type="dxa"/>
            <w:gridSpan w:val="4"/>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B7EF1B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年度总体目标</w:t>
            </w:r>
          </w:p>
        </w:tc>
        <w:tc>
          <w:tcPr>
            <w:tcW w:w="4142" w:type="dxa"/>
            <w:gridSpan w:val="8"/>
            <w:tcBorders>
              <w:top w:val="nil"/>
              <w:left w:val="nil"/>
              <w:bottom w:val="single" w:color="auto" w:sz="8" w:space="0"/>
              <w:right w:val="single" w:color="auto" w:sz="8" w:space="0"/>
            </w:tcBorders>
            <w:shd w:val="clear" w:color="auto" w:fill="auto"/>
            <w:tcMar>
              <w:left w:w="108" w:type="dxa"/>
              <w:right w:w="108" w:type="dxa"/>
            </w:tcMar>
            <w:vAlign w:val="center"/>
          </w:tcPr>
          <w:p w14:paraId="72FEB159">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预期目标</w:t>
            </w:r>
          </w:p>
        </w:tc>
        <w:tc>
          <w:tcPr>
            <w:tcW w:w="4163" w:type="dxa"/>
            <w:gridSpan w:val="11"/>
            <w:tcBorders>
              <w:top w:val="nil"/>
              <w:left w:val="nil"/>
              <w:bottom w:val="single" w:color="auto" w:sz="8" w:space="0"/>
              <w:right w:val="single" w:color="auto" w:sz="8" w:space="0"/>
            </w:tcBorders>
            <w:shd w:val="clear" w:color="auto" w:fill="auto"/>
            <w:tcMar>
              <w:left w:w="108" w:type="dxa"/>
              <w:right w:w="108" w:type="dxa"/>
            </w:tcMar>
            <w:vAlign w:val="center"/>
          </w:tcPr>
          <w:p w14:paraId="04F1260F">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实际完成情况</w:t>
            </w:r>
          </w:p>
        </w:tc>
      </w:tr>
      <w:tr w14:paraId="532C8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2" w:type="dxa"/>
          <w:trHeight w:val="682" w:hRule="atLeast"/>
          <w:jc w:val="center"/>
        </w:trPr>
        <w:tc>
          <w:tcPr>
            <w:tcW w:w="1785" w:type="dxa"/>
            <w:gridSpan w:val="4"/>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88960C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4142" w:type="dxa"/>
            <w:gridSpan w:val="8"/>
            <w:tcBorders>
              <w:top w:val="nil"/>
              <w:left w:val="nil"/>
              <w:bottom w:val="single" w:color="auto" w:sz="8" w:space="0"/>
              <w:right w:val="single" w:color="auto" w:sz="8" w:space="0"/>
            </w:tcBorders>
            <w:shd w:val="clear" w:color="auto" w:fill="auto"/>
            <w:tcMar>
              <w:left w:w="108" w:type="dxa"/>
              <w:right w:w="108" w:type="dxa"/>
            </w:tcMar>
            <w:vAlign w:val="center"/>
          </w:tcPr>
          <w:p w14:paraId="08DE86B7">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及时</w:t>
            </w:r>
            <w:r>
              <w:rPr>
                <w:rFonts w:hint="eastAsia" w:ascii="仿宋" w:hAnsi="仿宋" w:eastAsia="仿宋" w:cs="仿宋"/>
                <w:kern w:val="0"/>
                <w:sz w:val="18"/>
                <w:szCs w:val="18"/>
                <w:lang w:eastAsia="zh-CN"/>
              </w:rPr>
              <w:t>发放新冠患者救治费用</w:t>
            </w:r>
          </w:p>
        </w:tc>
        <w:tc>
          <w:tcPr>
            <w:tcW w:w="4163" w:type="dxa"/>
            <w:gridSpan w:val="11"/>
            <w:tcBorders>
              <w:top w:val="nil"/>
              <w:left w:val="nil"/>
              <w:bottom w:val="single" w:color="auto" w:sz="8" w:space="0"/>
              <w:right w:val="single" w:color="auto" w:sz="8" w:space="0"/>
            </w:tcBorders>
            <w:shd w:val="clear" w:color="auto" w:fill="auto"/>
            <w:tcMar>
              <w:left w:w="108" w:type="dxa"/>
              <w:right w:w="108" w:type="dxa"/>
            </w:tcMar>
            <w:vAlign w:val="center"/>
          </w:tcPr>
          <w:p w14:paraId="5B20DA0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rPr>
              <w:t>由于患者提供卡号</w:t>
            </w:r>
            <w:r>
              <w:rPr>
                <w:rFonts w:hint="eastAsia" w:ascii="仿宋" w:hAnsi="仿宋" w:eastAsia="仿宋" w:cs="仿宋"/>
                <w:kern w:val="0"/>
                <w:sz w:val="18"/>
                <w:szCs w:val="18"/>
                <w:lang w:eastAsia="zh-CN"/>
              </w:rPr>
              <w:t>或开户银行有误</w:t>
            </w:r>
            <w:r>
              <w:rPr>
                <w:rFonts w:hint="eastAsia" w:ascii="仿宋" w:hAnsi="仿宋" w:eastAsia="仿宋" w:cs="仿宋"/>
                <w:kern w:val="0"/>
                <w:sz w:val="18"/>
                <w:szCs w:val="18"/>
              </w:rPr>
              <w:t>导致部分资金</w:t>
            </w:r>
            <w:r>
              <w:rPr>
                <w:rFonts w:hint="eastAsia" w:ascii="仿宋" w:hAnsi="仿宋" w:eastAsia="仿宋" w:cs="仿宋"/>
                <w:kern w:val="0"/>
                <w:sz w:val="18"/>
                <w:szCs w:val="18"/>
                <w:lang w:eastAsia="zh-CN"/>
              </w:rPr>
              <w:t>尚未</w:t>
            </w:r>
            <w:r>
              <w:rPr>
                <w:rFonts w:hint="eastAsia" w:ascii="仿宋" w:hAnsi="仿宋" w:eastAsia="仿宋" w:cs="仿宋"/>
                <w:kern w:val="0"/>
                <w:sz w:val="18"/>
                <w:szCs w:val="18"/>
              </w:rPr>
              <w:t>发放</w:t>
            </w:r>
            <w:r>
              <w:rPr>
                <w:rFonts w:hint="eastAsia" w:ascii="仿宋" w:hAnsi="仿宋" w:eastAsia="仿宋" w:cs="仿宋"/>
                <w:kern w:val="0"/>
                <w:sz w:val="18"/>
                <w:szCs w:val="18"/>
                <w:lang w:eastAsia="zh-CN"/>
              </w:rPr>
              <w:t>。</w:t>
            </w:r>
          </w:p>
        </w:tc>
      </w:tr>
      <w:tr w14:paraId="3042A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2" w:type="dxa"/>
          <w:trHeight w:val="505" w:hRule="atLeast"/>
          <w:jc w:val="center"/>
        </w:trPr>
        <w:tc>
          <w:tcPr>
            <w:tcW w:w="1785" w:type="dxa"/>
            <w:gridSpan w:val="4"/>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DFCB1A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绩  效 指  标（100）</w:t>
            </w:r>
          </w:p>
        </w:tc>
        <w:tc>
          <w:tcPr>
            <w:tcW w:w="863" w:type="dxa"/>
            <w:tcBorders>
              <w:top w:val="nil"/>
              <w:left w:val="nil"/>
              <w:bottom w:val="single" w:color="auto" w:sz="8" w:space="0"/>
              <w:right w:val="single" w:color="auto" w:sz="8" w:space="0"/>
            </w:tcBorders>
            <w:shd w:val="clear" w:color="auto" w:fill="auto"/>
            <w:tcMar>
              <w:left w:w="108" w:type="dxa"/>
              <w:right w:w="108" w:type="dxa"/>
            </w:tcMar>
            <w:vAlign w:val="center"/>
          </w:tcPr>
          <w:p w14:paraId="0E71FBF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一级指标</w:t>
            </w:r>
          </w:p>
        </w:tc>
        <w:tc>
          <w:tcPr>
            <w:tcW w:w="1517"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5E1F43D9">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二级指标</w:t>
            </w:r>
          </w:p>
        </w:tc>
        <w:tc>
          <w:tcPr>
            <w:tcW w:w="85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6A2284C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三级指标</w:t>
            </w:r>
          </w:p>
        </w:tc>
        <w:tc>
          <w:tcPr>
            <w:tcW w:w="90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5269835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年度指标值</w:t>
            </w:r>
          </w:p>
        </w:tc>
        <w:tc>
          <w:tcPr>
            <w:tcW w:w="99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14E0D0E7">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实际完成值</w:t>
            </w:r>
          </w:p>
        </w:tc>
        <w:tc>
          <w:tcPr>
            <w:tcW w:w="627"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3B2A72BF">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分值</w:t>
            </w:r>
          </w:p>
        </w:tc>
        <w:tc>
          <w:tcPr>
            <w:tcW w:w="6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085905B">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得分</w:t>
            </w:r>
          </w:p>
        </w:tc>
        <w:tc>
          <w:tcPr>
            <w:tcW w:w="1859"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650DA1EF">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偏差原因分析及改进措施</w:t>
            </w:r>
          </w:p>
        </w:tc>
      </w:tr>
      <w:tr w14:paraId="5FC46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2" w:type="dxa"/>
          <w:trHeight w:val="568" w:hRule="atLeast"/>
          <w:jc w:val="center"/>
        </w:trPr>
        <w:tc>
          <w:tcPr>
            <w:tcW w:w="1785" w:type="dxa"/>
            <w:gridSpan w:val="4"/>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4D6D45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863"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5A169C3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产出指标（80）</w:t>
            </w:r>
          </w:p>
        </w:tc>
        <w:tc>
          <w:tcPr>
            <w:tcW w:w="1517"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23A9EA07">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数量指标</w:t>
            </w:r>
          </w:p>
        </w:tc>
        <w:tc>
          <w:tcPr>
            <w:tcW w:w="85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6BAFD20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医疗机构数量</w:t>
            </w:r>
          </w:p>
        </w:tc>
        <w:tc>
          <w:tcPr>
            <w:tcW w:w="90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EE333E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val="en-US" w:eastAsia="zh-CN"/>
              </w:rPr>
              <w:t>1个</w:t>
            </w:r>
          </w:p>
        </w:tc>
        <w:tc>
          <w:tcPr>
            <w:tcW w:w="99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2F662CC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val="en-US" w:eastAsia="zh-CN"/>
              </w:rPr>
              <w:t>1个</w:t>
            </w:r>
          </w:p>
        </w:tc>
        <w:tc>
          <w:tcPr>
            <w:tcW w:w="627"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5696A7B7">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6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BB773AB">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1859" w:type="dxa"/>
            <w:gridSpan w:val="2"/>
            <w:tcBorders>
              <w:top w:val="nil"/>
              <w:left w:val="nil"/>
              <w:bottom w:val="single" w:color="auto" w:sz="8" w:space="0"/>
              <w:right w:val="single" w:color="auto" w:sz="8" w:space="0"/>
            </w:tcBorders>
            <w:shd w:val="clear" w:color="auto" w:fill="auto"/>
            <w:tcMar>
              <w:left w:w="108" w:type="dxa"/>
              <w:right w:w="108" w:type="dxa"/>
            </w:tcMar>
            <w:vAlign w:val="top"/>
          </w:tcPr>
          <w:p w14:paraId="07C1D9C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4421C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2" w:type="dxa"/>
          <w:trHeight w:val="568" w:hRule="atLeast"/>
          <w:jc w:val="center"/>
        </w:trPr>
        <w:tc>
          <w:tcPr>
            <w:tcW w:w="1785" w:type="dxa"/>
            <w:gridSpan w:val="4"/>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B472CB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863"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7A6E98B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1517" w:type="dxa"/>
            <w:gridSpan w:val="3"/>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7489BAC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质量指标</w:t>
            </w:r>
          </w:p>
        </w:tc>
        <w:tc>
          <w:tcPr>
            <w:tcW w:w="85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2353735">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患者补助完成率</w:t>
            </w:r>
          </w:p>
        </w:tc>
        <w:tc>
          <w:tcPr>
            <w:tcW w:w="90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79D51F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100</w:t>
            </w:r>
          </w:p>
        </w:tc>
        <w:tc>
          <w:tcPr>
            <w:tcW w:w="99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669BE30E">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83</w:t>
            </w:r>
          </w:p>
        </w:tc>
        <w:tc>
          <w:tcPr>
            <w:tcW w:w="627"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456AB71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8</w:t>
            </w:r>
          </w:p>
        </w:tc>
        <w:tc>
          <w:tcPr>
            <w:tcW w:w="6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AE5EBFA">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6.5</w:t>
            </w:r>
          </w:p>
        </w:tc>
        <w:tc>
          <w:tcPr>
            <w:tcW w:w="1859" w:type="dxa"/>
            <w:gridSpan w:val="2"/>
            <w:tcBorders>
              <w:top w:val="nil"/>
              <w:left w:val="nil"/>
              <w:bottom w:val="single" w:color="auto" w:sz="8" w:space="0"/>
              <w:right w:val="single" w:color="auto" w:sz="8" w:space="0"/>
            </w:tcBorders>
            <w:shd w:val="clear" w:color="auto" w:fill="auto"/>
            <w:tcMar>
              <w:left w:w="108" w:type="dxa"/>
              <w:right w:w="108" w:type="dxa"/>
            </w:tcMar>
            <w:vAlign w:val="top"/>
          </w:tcPr>
          <w:p w14:paraId="5E28FCD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由于患者提供</w:t>
            </w:r>
            <w:r>
              <w:rPr>
                <w:rFonts w:hint="eastAsia" w:ascii="仿宋" w:hAnsi="仿宋" w:eastAsia="仿宋" w:cs="仿宋"/>
                <w:kern w:val="0"/>
                <w:sz w:val="18"/>
                <w:szCs w:val="18"/>
                <w:lang w:val="en-US" w:eastAsia="zh-CN"/>
              </w:rPr>
              <w:t>银行</w:t>
            </w:r>
            <w:r>
              <w:rPr>
                <w:rFonts w:hint="eastAsia" w:ascii="仿宋" w:hAnsi="仿宋" w:eastAsia="仿宋" w:cs="仿宋"/>
                <w:kern w:val="0"/>
                <w:sz w:val="18"/>
                <w:szCs w:val="18"/>
              </w:rPr>
              <w:t>卡号</w:t>
            </w:r>
            <w:r>
              <w:rPr>
                <w:rFonts w:hint="eastAsia" w:ascii="仿宋" w:hAnsi="仿宋" w:eastAsia="仿宋" w:cs="仿宋"/>
                <w:kern w:val="0"/>
                <w:sz w:val="18"/>
                <w:szCs w:val="18"/>
                <w:lang w:eastAsia="zh-CN"/>
              </w:rPr>
              <w:t>或开户银行有误</w:t>
            </w:r>
            <w:r>
              <w:rPr>
                <w:rFonts w:hint="eastAsia" w:ascii="仿宋" w:hAnsi="仿宋" w:eastAsia="仿宋" w:cs="仿宋"/>
                <w:kern w:val="0"/>
                <w:sz w:val="18"/>
                <w:szCs w:val="18"/>
              </w:rPr>
              <w:t>导致部分资金</w:t>
            </w:r>
            <w:r>
              <w:rPr>
                <w:rFonts w:hint="eastAsia" w:ascii="仿宋" w:hAnsi="仿宋" w:eastAsia="仿宋" w:cs="仿宋"/>
                <w:kern w:val="0"/>
                <w:sz w:val="18"/>
                <w:szCs w:val="18"/>
                <w:lang w:eastAsia="zh-CN"/>
              </w:rPr>
              <w:t>尚未</w:t>
            </w:r>
            <w:r>
              <w:rPr>
                <w:rFonts w:hint="eastAsia" w:ascii="仿宋" w:hAnsi="仿宋" w:eastAsia="仿宋" w:cs="仿宋"/>
                <w:kern w:val="0"/>
                <w:sz w:val="18"/>
                <w:szCs w:val="18"/>
              </w:rPr>
              <w:t>发放</w:t>
            </w:r>
            <w:r>
              <w:rPr>
                <w:rFonts w:hint="eastAsia" w:ascii="仿宋" w:hAnsi="仿宋" w:eastAsia="仿宋" w:cs="仿宋"/>
                <w:kern w:val="0"/>
                <w:sz w:val="18"/>
                <w:szCs w:val="18"/>
                <w:lang w:eastAsia="zh-CN"/>
              </w:rPr>
              <w:t>，积极联系患者提供正确信息。</w:t>
            </w:r>
          </w:p>
        </w:tc>
      </w:tr>
      <w:tr w14:paraId="26544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2" w:type="dxa"/>
          <w:trHeight w:val="630" w:hRule="atLeast"/>
          <w:jc w:val="center"/>
        </w:trPr>
        <w:tc>
          <w:tcPr>
            <w:tcW w:w="1785" w:type="dxa"/>
            <w:gridSpan w:val="4"/>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9A4089B">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863"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1109A89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1517" w:type="dxa"/>
            <w:gridSpan w:val="3"/>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42EF060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85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67A2FF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患者补助覆盖率</w:t>
            </w:r>
          </w:p>
        </w:tc>
        <w:tc>
          <w:tcPr>
            <w:tcW w:w="90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194D66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100</w:t>
            </w:r>
          </w:p>
        </w:tc>
        <w:tc>
          <w:tcPr>
            <w:tcW w:w="99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336B47FD">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83</w:t>
            </w:r>
          </w:p>
        </w:tc>
        <w:tc>
          <w:tcPr>
            <w:tcW w:w="627"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1A11A44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7</w:t>
            </w:r>
          </w:p>
        </w:tc>
        <w:tc>
          <w:tcPr>
            <w:tcW w:w="6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07F22F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val="en-US" w:eastAsia="zh-CN"/>
              </w:rPr>
              <w:t>6</w:t>
            </w:r>
          </w:p>
        </w:tc>
        <w:tc>
          <w:tcPr>
            <w:tcW w:w="1859" w:type="dxa"/>
            <w:gridSpan w:val="2"/>
            <w:tcBorders>
              <w:top w:val="nil"/>
              <w:left w:val="nil"/>
              <w:bottom w:val="single" w:color="auto" w:sz="8" w:space="0"/>
              <w:right w:val="single" w:color="auto" w:sz="8" w:space="0"/>
            </w:tcBorders>
            <w:shd w:val="clear" w:color="auto" w:fill="auto"/>
            <w:tcMar>
              <w:left w:w="108" w:type="dxa"/>
              <w:right w:w="108" w:type="dxa"/>
            </w:tcMar>
            <w:vAlign w:val="top"/>
          </w:tcPr>
          <w:p w14:paraId="40C52BD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由于患者提供</w:t>
            </w:r>
            <w:r>
              <w:rPr>
                <w:rFonts w:hint="eastAsia" w:ascii="仿宋" w:hAnsi="仿宋" w:eastAsia="仿宋" w:cs="仿宋"/>
                <w:kern w:val="0"/>
                <w:sz w:val="18"/>
                <w:szCs w:val="18"/>
                <w:lang w:val="en-US" w:eastAsia="zh-CN"/>
              </w:rPr>
              <w:t>银行</w:t>
            </w:r>
            <w:r>
              <w:rPr>
                <w:rFonts w:hint="eastAsia" w:ascii="仿宋" w:hAnsi="仿宋" w:eastAsia="仿宋" w:cs="仿宋"/>
                <w:kern w:val="0"/>
                <w:sz w:val="18"/>
                <w:szCs w:val="18"/>
              </w:rPr>
              <w:t>卡号</w:t>
            </w:r>
            <w:r>
              <w:rPr>
                <w:rFonts w:hint="eastAsia" w:ascii="仿宋" w:hAnsi="仿宋" w:eastAsia="仿宋" w:cs="仿宋"/>
                <w:kern w:val="0"/>
                <w:sz w:val="18"/>
                <w:szCs w:val="18"/>
                <w:lang w:eastAsia="zh-CN"/>
              </w:rPr>
              <w:t>或开户银行有误</w:t>
            </w:r>
            <w:r>
              <w:rPr>
                <w:rFonts w:hint="eastAsia" w:ascii="仿宋" w:hAnsi="仿宋" w:eastAsia="仿宋" w:cs="仿宋"/>
                <w:kern w:val="0"/>
                <w:sz w:val="18"/>
                <w:szCs w:val="18"/>
              </w:rPr>
              <w:t>导致部分资金</w:t>
            </w:r>
            <w:r>
              <w:rPr>
                <w:rFonts w:hint="eastAsia" w:ascii="仿宋" w:hAnsi="仿宋" w:eastAsia="仿宋" w:cs="仿宋"/>
                <w:kern w:val="0"/>
                <w:sz w:val="18"/>
                <w:szCs w:val="18"/>
                <w:lang w:eastAsia="zh-CN"/>
              </w:rPr>
              <w:t>尚未</w:t>
            </w:r>
            <w:r>
              <w:rPr>
                <w:rFonts w:hint="eastAsia" w:ascii="仿宋" w:hAnsi="仿宋" w:eastAsia="仿宋" w:cs="仿宋"/>
                <w:kern w:val="0"/>
                <w:sz w:val="18"/>
                <w:szCs w:val="18"/>
              </w:rPr>
              <w:t>发放</w:t>
            </w:r>
            <w:r>
              <w:rPr>
                <w:rFonts w:hint="eastAsia" w:ascii="仿宋" w:hAnsi="仿宋" w:eastAsia="仿宋" w:cs="仿宋"/>
                <w:kern w:val="0"/>
                <w:sz w:val="18"/>
                <w:szCs w:val="18"/>
                <w:lang w:eastAsia="zh-CN"/>
              </w:rPr>
              <w:t>，积极联系患者提供正确信息。</w:t>
            </w:r>
          </w:p>
        </w:tc>
      </w:tr>
      <w:tr w14:paraId="0EDA6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2" w:type="dxa"/>
          <w:trHeight w:val="653" w:hRule="atLeast"/>
          <w:jc w:val="center"/>
        </w:trPr>
        <w:tc>
          <w:tcPr>
            <w:tcW w:w="1785" w:type="dxa"/>
            <w:gridSpan w:val="4"/>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672DB1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863"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3CC525C6">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1517" w:type="dxa"/>
            <w:gridSpan w:val="3"/>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6826054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时效指标</w:t>
            </w:r>
          </w:p>
        </w:tc>
        <w:tc>
          <w:tcPr>
            <w:tcW w:w="85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56AF518">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资金拨付时效</w:t>
            </w:r>
          </w:p>
        </w:tc>
        <w:tc>
          <w:tcPr>
            <w:tcW w:w="90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693A2F61">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及时拨付</w:t>
            </w:r>
          </w:p>
        </w:tc>
        <w:tc>
          <w:tcPr>
            <w:tcW w:w="99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5D2574AE">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及时拨付</w:t>
            </w:r>
          </w:p>
        </w:tc>
        <w:tc>
          <w:tcPr>
            <w:tcW w:w="627"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450771E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5</w:t>
            </w:r>
          </w:p>
        </w:tc>
        <w:tc>
          <w:tcPr>
            <w:tcW w:w="6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1D12D57">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5</w:t>
            </w:r>
          </w:p>
        </w:tc>
        <w:tc>
          <w:tcPr>
            <w:tcW w:w="1859" w:type="dxa"/>
            <w:gridSpan w:val="2"/>
            <w:tcBorders>
              <w:top w:val="nil"/>
              <w:left w:val="nil"/>
              <w:bottom w:val="single" w:color="auto" w:sz="8" w:space="0"/>
              <w:right w:val="single" w:color="auto" w:sz="8" w:space="0"/>
            </w:tcBorders>
            <w:shd w:val="clear" w:color="auto" w:fill="auto"/>
            <w:tcMar>
              <w:left w:w="108" w:type="dxa"/>
              <w:right w:w="108" w:type="dxa"/>
            </w:tcMar>
            <w:vAlign w:val="top"/>
          </w:tcPr>
          <w:p w14:paraId="6FD373E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2E30A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2" w:type="dxa"/>
          <w:trHeight w:val="677" w:hRule="atLeast"/>
          <w:jc w:val="center"/>
        </w:trPr>
        <w:tc>
          <w:tcPr>
            <w:tcW w:w="1785" w:type="dxa"/>
            <w:gridSpan w:val="4"/>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5831D4C">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863"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705184E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1517" w:type="dxa"/>
            <w:gridSpan w:val="3"/>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4CCDFC2B">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85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5A0B1BE">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资金执行情况</w:t>
            </w:r>
          </w:p>
        </w:tc>
        <w:tc>
          <w:tcPr>
            <w:tcW w:w="90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79C4F67">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及时执行</w:t>
            </w:r>
          </w:p>
        </w:tc>
        <w:tc>
          <w:tcPr>
            <w:tcW w:w="99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79374ABF">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及时执行</w:t>
            </w:r>
          </w:p>
        </w:tc>
        <w:tc>
          <w:tcPr>
            <w:tcW w:w="627"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15694D9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5</w:t>
            </w:r>
          </w:p>
        </w:tc>
        <w:tc>
          <w:tcPr>
            <w:tcW w:w="6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6BDFFD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5</w:t>
            </w:r>
          </w:p>
        </w:tc>
        <w:tc>
          <w:tcPr>
            <w:tcW w:w="1859" w:type="dxa"/>
            <w:gridSpan w:val="2"/>
            <w:tcBorders>
              <w:top w:val="nil"/>
              <w:left w:val="nil"/>
              <w:bottom w:val="single" w:color="auto" w:sz="8" w:space="0"/>
              <w:right w:val="single" w:color="auto" w:sz="8" w:space="0"/>
            </w:tcBorders>
            <w:shd w:val="clear" w:color="auto" w:fill="auto"/>
            <w:tcMar>
              <w:left w:w="108" w:type="dxa"/>
              <w:right w:w="108" w:type="dxa"/>
            </w:tcMar>
            <w:vAlign w:val="top"/>
          </w:tcPr>
          <w:p w14:paraId="40FC885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0D0C2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2" w:type="dxa"/>
          <w:trHeight w:val="1196" w:hRule="atLeast"/>
          <w:jc w:val="center"/>
        </w:trPr>
        <w:tc>
          <w:tcPr>
            <w:tcW w:w="1785" w:type="dxa"/>
            <w:gridSpan w:val="4"/>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EDEACEB">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863"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72D54E3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1517"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1EBAE1C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成本指标</w:t>
            </w:r>
          </w:p>
        </w:tc>
        <w:tc>
          <w:tcPr>
            <w:tcW w:w="85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DA575F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补助发放金额</w:t>
            </w:r>
          </w:p>
        </w:tc>
        <w:tc>
          <w:tcPr>
            <w:tcW w:w="90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9FF37AF">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35.84</w:t>
            </w:r>
          </w:p>
        </w:tc>
        <w:tc>
          <w:tcPr>
            <w:tcW w:w="99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3F145095">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29.85</w:t>
            </w:r>
          </w:p>
        </w:tc>
        <w:tc>
          <w:tcPr>
            <w:tcW w:w="627"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375F250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lang w:val="en-US" w:eastAsia="zh-CN"/>
              </w:rPr>
              <w:t>1</w:t>
            </w:r>
            <w:r>
              <w:rPr>
                <w:rFonts w:hint="eastAsia" w:ascii="仿宋" w:hAnsi="仿宋" w:eastAsia="仿宋" w:cs="仿宋"/>
                <w:kern w:val="0"/>
                <w:sz w:val="18"/>
                <w:szCs w:val="18"/>
              </w:rPr>
              <w:t>5</w:t>
            </w:r>
          </w:p>
        </w:tc>
        <w:tc>
          <w:tcPr>
            <w:tcW w:w="6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3D662DF">
            <w:pPr>
              <w:keepNext w:val="0"/>
              <w:keepLines w:val="0"/>
              <w:widowControl/>
              <w:suppressLineNumbers w:val="0"/>
              <w:snapToGrid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1859" w:type="dxa"/>
            <w:gridSpan w:val="2"/>
            <w:tcBorders>
              <w:top w:val="nil"/>
              <w:left w:val="nil"/>
              <w:bottom w:val="single" w:color="auto" w:sz="8" w:space="0"/>
              <w:right w:val="single" w:color="auto" w:sz="8" w:space="0"/>
            </w:tcBorders>
            <w:shd w:val="clear" w:color="auto" w:fill="auto"/>
            <w:tcMar>
              <w:left w:w="108" w:type="dxa"/>
              <w:right w:w="108" w:type="dxa"/>
            </w:tcMar>
            <w:vAlign w:val="top"/>
          </w:tcPr>
          <w:p w14:paraId="25C6823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rPr>
              <w:t>由于患者提供</w:t>
            </w:r>
            <w:r>
              <w:rPr>
                <w:rFonts w:hint="eastAsia" w:ascii="仿宋" w:hAnsi="仿宋" w:eastAsia="仿宋" w:cs="仿宋"/>
                <w:kern w:val="0"/>
                <w:sz w:val="18"/>
                <w:szCs w:val="18"/>
                <w:lang w:val="en-US" w:eastAsia="zh-CN"/>
              </w:rPr>
              <w:t>银行</w:t>
            </w:r>
            <w:r>
              <w:rPr>
                <w:rFonts w:hint="eastAsia" w:ascii="仿宋" w:hAnsi="仿宋" w:eastAsia="仿宋" w:cs="仿宋"/>
                <w:kern w:val="0"/>
                <w:sz w:val="18"/>
                <w:szCs w:val="18"/>
              </w:rPr>
              <w:t>卡号</w:t>
            </w:r>
            <w:r>
              <w:rPr>
                <w:rFonts w:hint="eastAsia" w:ascii="仿宋" w:hAnsi="仿宋" w:eastAsia="仿宋" w:cs="仿宋"/>
                <w:kern w:val="0"/>
                <w:sz w:val="18"/>
                <w:szCs w:val="18"/>
                <w:lang w:eastAsia="zh-CN"/>
              </w:rPr>
              <w:t>或开户银行有误</w:t>
            </w:r>
            <w:r>
              <w:rPr>
                <w:rFonts w:hint="eastAsia" w:ascii="仿宋" w:hAnsi="仿宋" w:eastAsia="仿宋" w:cs="仿宋"/>
                <w:kern w:val="0"/>
                <w:sz w:val="18"/>
                <w:szCs w:val="18"/>
              </w:rPr>
              <w:t>导致部分资金</w:t>
            </w:r>
            <w:r>
              <w:rPr>
                <w:rFonts w:hint="eastAsia" w:ascii="仿宋" w:hAnsi="仿宋" w:eastAsia="仿宋" w:cs="仿宋"/>
                <w:kern w:val="0"/>
                <w:sz w:val="18"/>
                <w:szCs w:val="18"/>
                <w:lang w:eastAsia="zh-CN"/>
              </w:rPr>
              <w:t>尚未</w:t>
            </w:r>
            <w:r>
              <w:rPr>
                <w:rFonts w:hint="eastAsia" w:ascii="仿宋" w:hAnsi="仿宋" w:eastAsia="仿宋" w:cs="仿宋"/>
                <w:kern w:val="0"/>
                <w:sz w:val="18"/>
                <w:szCs w:val="18"/>
              </w:rPr>
              <w:t>发放</w:t>
            </w:r>
            <w:r>
              <w:rPr>
                <w:rFonts w:hint="eastAsia" w:ascii="仿宋" w:hAnsi="仿宋" w:eastAsia="仿宋" w:cs="仿宋"/>
                <w:kern w:val="0"/>
                <w:sz w:val="18"/>
                <w:szCs w:val="18"/>
                <w:lang w:eastAsia="zh-CN"/>
              </w:rPr>
              <w:t>，积极联系患者提供正确信息。</w:t>
            </w:r>
          </w:p>
        </w:tc>
      </w:tr>
      <w:tr w14:paraId="2CE01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2" w:type="dxa"/>
          <w:trHeight w:val="571" w:hRule="atLeast"/>
          <w:jc w:val="center"/>
        </w:trPr>
        <w:tc>
          <w:tcPr>
            <w:tcW w:w="1785" w:type="dxa"/>
            <w:gridSpan w:val="4"/>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7262595">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863"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7063F4D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1517"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226089F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社会效益指标</w:t>
            </w:r>
          </w:p>
        </w:tc>
        <w:tc>
          <w:tcPr>
            <w:tcW w:w="85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778E310">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患者治愈后</w:t>
            </w:r>
          </w:p>
        </w:tc>
        <w:tc>
          <w:tcPr>
            <w:tcW w:w="90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64641D6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良</w:t>
            </w:r>
          </w:p>
        </w:tc>
        <w:tc>
          <w:tcPr>
            <w:tcW w:w="99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0A598C7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良好</w:t>
            </w:r>
          </w:p>
        </w:tc>
        <w:tc>
          <w:tcPr>
            <w:tcW w:w="627"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7D9BC2F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15</w:t>
            </w:r>
          </w:p>
        </w:tc>
        <w:tc>
          <w:tcPr>
            <w:tcW w:w="6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87FBE8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15</w:t>
            </w:r>
          </w:p>
        </w:tc>
        <w:tc>
          <w:tcPr>
            <w:tcW w:w="1859" w:type="dxa"/>
            <w:gridSpan w:val="2"/>
            <w:tcBorders>
              <w:top w:val="nil"/>
              <w:left w:val="nil"/>
              <w:bottom w:val="single" w:color="auto" w:sz="8" w:space="0"/>
              <w:right w:val="single" w:color="auto" w:sz="8" w:space="0"/>
            </w:tcBorders>
            <w:shd w:val="clear" w:color="auto" w:fill="auto"/>
            <w:tcMar>
              <w:left w:w="108" w:type="dxa"/>
              <w:right w:w="108" w:type="dxa"/>
            </w:tcMar>
            <w:vAlign w:val="top"/>
          </w:tcPr>
          <w:p w14:paraId="0D255022">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p>
        </w:tc>
      </w:tr>
      <w:tr w14:paraId="7E899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2" w:type="dxa"/>
          <w:trHeight w:val="558" w:hRule="atLeast"/>
          <w:jc w:val="center"/>
        </w:trPr>
        <w:tc>
          <w:tcPr>
            <w:tcW w:w="1785" w:type="dxa"/>
            <w:gridSpan w:val="4"/>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D70E95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863"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195A080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1517"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42731736">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可持续影响 指   标</w:t>
            </w:r>
          </w:p>
        </w:tc>
        <w:tc>
          <w:tcPr>
            <w:tcW w:w="85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AACD646">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传染病救治效果</w:t>
            </w:r>
          </w:p>
        </w:tc>
        <w:tc>
          <w:tcPr>
            <w:tcW w:w="90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560B077A">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持续提高</w:t>
            </w:r>
          </w:p>
        </w:tc>
        <w:tc>
          <w:tcPr>
            <w:tcW w:w="99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46F709C6">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持续提高</w:t>
            </w:r>
          </w:p>
        </w:tc>
        <w:tc>
          <w:tcPr>
            <w:tcW w:w="627"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2CB951A5">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15</w:t>
            </w:r>
          </w:p>
        </w:tc>
        <w:tc>
          <w:tcPr>
            <w:tcW w:w="6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E280ECF">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15</w:t>
            </w:r>
          </w:p>
        </w:tc>
        <w:tc>
          <w:tcPr>
            <w:tcW w:w="1859" w:type="dxa"/>
            <w:gridSpan w:val="2"/>
            <w:tcBorders>
              <w:top w:val="nil"/>
              <w:left w:val="nil"/>
              <w:bottom w:val="single" w:color="auto" w:sz="8" w:space="0"/>
              <w:right w:val="single" w:color="auto" w:sz="8" w:space="0"/>
            </w:tcBorders>
            <w:shd w:val="clear" w:color="auto" w:fill="auto"/>
            <w:tcMar>
              <w:left w:w="108" w:type="dxa"/>
              <w:right w:w="108" w:type="dxa"/>
            </w:tcMar>
            <w:vAlign w:val="top"/>
          </w:tcPr>
          <w:p w14:paraId="298FAEF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3EE15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2" w:type="dxa"/>
          <w:trHeight w:val="749" w:hRule="atLeast"/>
          <w:jc w:val="center"/>
        </w:trPr>
        <w:tc>
          <w:tcPr>
            <w:tcW w:w="1785" w:type="dxa"/>
            <w:gridSpan w:val="4"/>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6EC89B5">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c>
          <w:tcPr>
            <w:tcW w:w="863" w:type="dxa"/>
            <w:tcBorders>
              <w:top w:val="nil"/>
              <w:left w:val="nil"/>
              <w:bottom w:val="single" w:color="auto" w:sz="8" w:space="0"/>
              <w:right w:val="single" w:color="auto" w:sz="8" w:space="0"/>
            </w:tcBorders>
            <w:shd w:val="clear" w:color="auto" w:fill="auto"/>
            <w:tcMar>
              <w:left w:w="108" w:type="dxa"/>
              <w:right w:w="108" w:type="dxa"/>
            </w:tcMar>
            <w:vAlign w:val="center"/>
          </w:tcPr>
          <w:p w14:paraId="4BEBC12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满意度 指  标（20）</w:t>
            </w:r>
          </w:p>
        </w:tc>
        <w:tc>
          <w:tcPr>
            <w:tcW w:w="1517"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4AB807C4">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服务对象满意度指标</w:t>
            </w:r>
          </w:p>
        </w:tc>
        <w:tc>
          <w:tcPr>
            <w:tcW w:w="85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E68578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lang w:eastAsia="zh-CN"/>
              </w:rPr>
              <w:t>新冠患者</w:t>
            </w:r>
            <w:r>
              <w:rPr>
                <w:rFonts w:hint="eastAsia" w:ascii="仿宋" w:hAnsi="仿宋" w:eastAsia="仿宋" w:cs="仿宋"/>
                <w:kern w:val="0"/>
                <w:sz w:val="18"/>
                <w:szCs w:val="18"/>
              </w:rPr>
              <w:t>满意度</w:t>
            </w:r>
          </w:p>
        </w:tc>
        <w:tc>
          <w:tcPr>
            <w:tcW w:w="90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7D5D6A1">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90</w:t>
            </w:r>
          </w:p>
        </w:tc>
        <w:tc>
          <w:tcPr>
            <w:tcW w:w="99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1032D4C8">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90</w:t>
            </w:r>
          </w:p>
        </w:tc>
        <w:tc>
          <w:tcPr>
            <w:tcW w:w="627"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77A0BABE">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20</w:t>
            </w:r>
          </w:p>
        </w:tc>
        <w:tc>
          <w:tcPr>
            <w:tcW w:w="6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6320491D">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20</w:t>
            </w:r>
          </w:p>
        </w:tc>
        <w:tc>
          <w:tcPr>
            <w:tcW w:w="1859" w:type="dxa"/>
            <w:gridSpan w:val="2"/>
            <w:tcBorders>
              <w:top w:val="nil"/>
              <w:left w:val="nil"/>
              <w:bottom w:val="single" w:color="auto" w:sz="8" w:space="0"/>
              <w:right w:val="single" w:color="auto" w:sz="8" w:space="0"/>
            </w:tcBorders>
            <w:shd w:val="clear" w:color="auto" w:fill="auto"/>
            <w:tcMar>
              <w:left w:w="108" w:type="dxa"/>
              <w:right w:w="108" w:type="dxa"/>
            </w:tcMar>
            <w:vAlign w:val="top"/>
          </w:tcPr>
          <w:p w14:paraId="070C9C63">
            <w:pPr>
              <w:keepNext w:val="0"/>
              <w:keepLines w:val="0"/>
              <w:widowControl/>
              <w:suppressLineNumbers w:val="0"/>
              <w:snapToGrid w:val="0"/>
              <w:spacing w:before="0" w:beforeAutospacing="1" w:after="0" w:afterAutospacing="1"/>
              <w:ind w:left="0" w:right="0"/>
              <w:jc w:val="center"/>
              <w:rPr>
                <w:rFonts w:hint="eastAsia" w:ascii="仿宋" w:hAnsi="仿宋" w:eastAsia="仿宋" w:cs="仿宋"/>
                <w:kern w:val="0"/>
                <w:sz w:val="18"/>
                <w:szCs w:val="18"/>
              </w:rPr>
            </w:pPr>
          </w:p>
        </w:tc>
      </w:tr>
      <w:tr w14:paraId="5641C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2" w:type="dxa"/>
          <w:trHeight w:val="547" w:hRule="atLeast"/>
          <w:jc w:val="center"/>
        </w:trPr>
        <w:tc>
          <w:tcPr>
            <w:tcW w:w="6917" w:type="dxa"/>
            <w:gridSpan w:val="15"/>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3FF658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总    分</w:t>
            </w:r>
          </w:p>
        </w:tc>
        <w:tc>
          <w:tcPr>
            <w:tcW w:w="627"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43E68DEC">
            <w:pPr>
              <w:keepNext w:val="0"/>
              <w:keepLines w:val="0"/>
              <w:widowControl/>
              <w:suppressLineNumbers w:val="0"/>
              <w:spacing w:before="0" w:beforeAutospacing="1" w:after="0" w:afterAutospacing="1"/>
              <w:ind w:left="0" w:right="0"/>
              <w:jc w:val="center"/>
              <w:rPr>
                <w:rFonts w:hint="eastAsia" w:ascii="仿宋" w:hAnsi="仿宋" w:eastAsia="仿宋" w:cs="仿宋"/>
                <w:kern w:val="0"/>
                <w:sz w:val="24"/>
                <w:szCs w:val="24"/>
              </w:rPr>
            </w:pPr>
            <w:r>
              <w:rPr>
                <w:rFonts w:hint="eastAsia" w:ascii="仿宋" w:hAnsi="仿宋" w:eastAsia="仿宋" w:cs="仿宋"/>
                <w:kern w:val="0"/>
                <w:sz w:val="18"/>
                <w:szCs w:val="18"/>
              </w:rPr>
              <w:t>100</w:t>
            </w:r>
          </w:p>
        </w:tc>
        <w:tc>
          <w:tcPr>
            <w:tcW w:w="6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00801C3">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92.5</w:t>
            </w:r>
          </w:p>
        </w:tc>
        <w:tc>
          <w:tcPr>
            <w:tcW w:w="1859"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F262A6F">
            <w:pPr>
              <w:keepNext w:val="0"/>
              <w:keepLines w:val="0"/>
              <w:widowControl/>
              <w:suppressLineNumbers w:val="0"/>
              <w:spacing w:before="0" w:beforeAutospacing="1" w:after="0" w:afterAutospacing="1"/>
              <w:ind w:left="0" w:right="0"/>
              <w:rPr>
                <w:rFonts w:hint="eastAsia" w:ascii="仿宋" w:hAnsi="仿宋" w:eastAsia="仿宋" w:cs="仿宋"/>
                <w:kern w:val="0"/>
                <w:sz w:val="24"/>
                <w:szCs w:val="24"/>
              </w:rPr>
            </w:pPr>
            <w:r>
              <w:rPr>
                <w:rFonts w:hint="eastAsia" w:ascii="仿宋" w:hAnsi="仿宋" w:eastAsia="仿宋" w:cs="仿宋"/>
                <w:kern w:val="0"/>
                <w:sz w:val="18"/>
                <w:szCs w:val="18"/>
              </w:rPr>
              <w:t>　</w:t>
            </w:r>
          </w:p>
        </w:tc>
      </w:tr>
      <w:tr w14:paraId="49582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14" w:hRule="atLeast"/>
          <w:jc w:val="center"/>
        </w:trPr>
        <w:tc>
          <w:tcPr>
            <w:tcW w:w="10102" w:type="dxa"/>
            <w:gridSpan w:val="24"/>
            <w:tcBorders>
              <w:top w:val="nil"/>
              <w:left w:val="nil"/>
              <w:bottom w:val="nil"/>
              <w:right w:val="nil"/>
            </w:tcBorders>
            <w:shd w:val="clear" w:color="auto" w:fill="auto"/>
            <w:tcMar>
              <w:left w:w="108" w:type="dxa"/>
              <w:right w:w="108" w:type="dxa"/>
            </w:tcMar>
            <w:vAlign w:val="bottom"/>
          </w:tcPr>
          <w:p w14:paraId="48A4AC83">
            <w:pPr>
              <w:keepNext w:val="0"/>
              <w:keepLines w:val="0"/>
              <w:widowControl/>
              <w:suppressLineNumbers w:val="0"/>
              <w:spacing w:before="0" w:beforeAutospacing="1" w:after="0" w:afterAutospacing="1"/>
              <w:ind w:left="0" w:right="0"/>
              <w:jc w:val="center"/>
              <w:rPr>
                <w:rFonts w:hint="eastAsia" w:ascii="仿宋" w:hAnsi="仿宋" w:eastAsia="仿宋" w:cs="仿宋"/>
                <w:kern w:val="0"/>
                <w:sz w:val="28"/>
                <w:szCs w:val="28"/>
              </w:rPr>
            </w:pPr>
            <w:r>
              <w:rPr>
                <w:rFonts w:hint="eastAsia" w:ascii="仿宋" w:hAnsi="仿宋" w:eastAsia="仿宋" w:cs="仿宋"/>
                <w:spacing w:val="20"/>
                <w:kern w:val="0"/>
                <w:sz w:val="28"/>
                <w:szCs w:val="28"/>
              </w:rPr>
              <w:t>项目支出绩效自评表</w:t>
            </w:r>
          </w:p>
          <w:p w14:paraId="5245B667">
            <w:pPr>
              <w:keepNext w:val="0"/>
              <w:keepLines w:val="0"/>
              <w:widowControl/>
              <w:suppressLineNumbers w:val="0"/>
              <w:spacing w:before="0" w:beforeAutospacing="1" w:after="0" w:afterAutospacing="1"/>
              <w:ind w:left="0" w:right="0"/>
              <w:jc w:val="center"/>
              <w:rPr>
                <w:rFonts w:hint="eastAsia" w:ascii="仿宋" w:hAnsi="仿宋" w:eastAsia="仿宋" w:cs="仿宋"/>
                <w:kern w:val="0"/>
                <w:sz w:val="28"/>
                <w:szCs w:val="28"/>
              </w:rPr>
            </w:pPr>
            <w:r>
              <w:rPr>
                <w:rFonts w:hint="eastAsia" w:ascii="仿宋" w:hAnsi="仿宋" w:eastAsia="仿宋" w:cs="仿宋"/>
                <w:kern w:val="0"/>
                <w:sz w:val="28"/>
                <w:szCs w:val="28"/>
              </w:rPr>
              <w:t>（202</w:t>
            </w:r>
            <w:r>
              <w:rPr>
                <w:rFonts w:hint="eastAsia" w:ascii="仿宋" w:hAnsi="仿宋" w:eastAsia="仿宋" w:cs="仿宋"/>
                <w:kern w:val="0"/>
                <w:sz w:val="28"/>
                <w:szCs w:val="28"/>
                <w:lang w:val="en-US" w:eastAsia="zh-CN"/>
              </w:rPr>
              <w:t>5</w:t>
            </w:r>
            <w:r>
              <w:rPr>
                <w:rFonts w:hint="eastAsia" w:ascii="仿宋" w:hAnsi="仿宋" w:eastAsia="仿宋" w:cs="仿宋"/>
                <w:kern w:val="0"/>
                <w:sz w:val="28"/>
                <w:szCs w:val="28"/>
              </w:rPr>
              <w:t>年度）</w:t>
            </w:r>
          </w:p>
        </w:tc>
      </w:tr>
      <w:tr w14:paraId="77B3C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3" w:hRule="atLeast"/>
          <w:jc w:val="center"/>
        </w:trPr>
        <w:tc>
          <w:tcPr>
            <w:tcW w:w="1289" w:type="dxa"/>
            <w:gridSpan w:val="2"/>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01E101D">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项目名称</w:t>
            </w:r>
          </w:p>
        </w:tc>
        <w:tc>
          <w:tcPr>
            <w:tcW w:w="8813" w:type="dxa"/>
            <w:gridSpan w:val="22"/>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04E23F9">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过渡期医务人员临时性工作补助</w:t>
            </w:r>
          </w:p>
        </w:tc>
      </w:tr>
      <w:tr w14:paraId="1215D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8" w:hRule="atLeast"/>
          <w:jc w:val="center"/>
        </w:trPr>
        <w:tc>
          <w:tcPr>
            <w:tcW w:w="1289" w:type="dxa"/>
            <w:gridSpan w:val="2"/>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E83F2E1">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主管部门</w:t>
            </w:r>
          </w:p>
        </w:tc>
        <w:tc>
          <w:tcPr>
            <w:tcW w:w="3620" w:type="dxa"/>
            <w:gridSpan w:val="7"/>
            <w:tcBorders>
              <w:top w:val="nil"/>
              <w:left w:val="nil"/>
              <w:bottom w:val="single" w:color="auto" w:sz="8" w:space="0"/>
              <w:right w:val="single" w:color="auto" w:sz="8" w:space="0"/>
            </w:tcBorders>
            <w:shd w:val="clear" w:color="auto" w:fill="auto"/>
            <w:tcMar>
              <w:left w:w="108" w:type="dxa"/>
              <w:right w:w="108" w:type="dxa"/>
            </w:tcMar>
            <w:vAlign w:val="center"/>
          </w:tcPr>
          <w:p w14:paraId="77E2CFDA">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呼伦贝尔市卫生健康委员会</w:t>
            </w:r>
          </w:p>
        </w:tc>
        <w:tc>
          <w:tcPr>
            <w:tcW w:w="1080"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0E042171">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实施单位</w:t>
            </w:r>
          </w:p>
        </w:tc>
        <w:tc>
          <w:tcPr>
            <w:tcW w:w="4113" w:type="dxa"/>
            <w:gridSpan w:val="11"/>
            <w:tcBorders>
              <w:top w:val="nil"/>
              <w:left w:val="nil"/>
              <w:bottom w:val="single" w:color="auto" w:sz="8" w:space="0"/>
              <w:right w:val="single" w:color="auto" w:sz="8" w:space="0"/>
            </w:tcBorders>
            <w:shd w:val="clear" w:color="auto" w:fill="auto"/>
            <w:tcMar>
              <w:left w:w="108" w:type="dxa"/>
              <w:right w:w="108" w:type="dxa"/>
            </w:tcMar>
            <w:vAlign w:val="center"/>
          </w:tcPr>
          <w:p w14:paraId="4DC24FC8">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呼伦贝尔市</w:t>
            </w:r>
            <w:r>
              <w:rPr>
                <w:rFonts w:hint="eastAsia" w:ascii="仿宋" w:hAnsi="仿宋" w:eastAsia="仿宋" w:cs="仿宋"/>
                <w:kern w:val="0"/>
                <w:sz w:val="18"/>
                <w:szCs w:val="18"/>
                <w:lang w:val="en-US" w:eastAsia="zh-CN"/>
              </w:rPr>
              <w:t>第二人民</w:t>
            </w:r>
            <w:r>
              <w:rPr>
                <w:rFonts w:hint="eastAsia" w:ascii="仿宋" w:hAnsi="仿宋" w:eastAsia="仿宋" w:cs="仿宋"/>
                <w:kern w:val="0"/>
                <w:sz w:val="18"/>
                <w:szCs w:val="18"/>
              </w:rPr>
              <w:t>医院</w:t>
            </w:r>
            <w:r>
              <w:rPr>
                <w:rFonts w:hint="eastAsia" w:ascii="仿宋" w:hAnsi="仿宋" w:eastAsia="仿宋" w:cs="仿宋"/>
                <w:kern w:val="0"/>
                <w:sz w:val="18"/>
                <w:szCs w:val="18"/>
                <w:lang w:val="en-US" w:eastAsia="zh-CN"/>
              </w:rPr>
              <w:t xml:space="preserve">                   </w:t>
            </w:r>
            <w:r>
              <w:rPr>
                <w:rFonts w:hint="eastAsia" w:ascii="仿宋" w:hAnsi="仿宋" w:eastAsia="仿宋" w:cs="仿宋"/>
                <w:kern w:val="0"/>
                <w:sz w:val="18"/>
                <w:szCs w:val="18"/>
                <w:lang w:eastAsia="zh-CN"/>
              </w:rPr>
              <w:t>（</w:t>
            </w:r>
            <w:r>
              <w:rPr>
                <w:rFonts w:hint="eastAsia" w:ascii="仿宋" w:hAnsi="仿宋" w:eastAsia="仿宋" w:cs="仿宋"/>
                <w:kern w:val="0"/>
                <w:sz w:val="18"/>
                <w:szCs w:val="18"/>
                <w:lang w:val="en-US" w:eastAsia="zh-CN"/>
              </w:rPr>
              <w:t>呼伦贝尔市传染病医院</w:t>
            </w:r>
            <w:r>
              <w:rPr>
                <w:rFonts w:hint="eastAsia" w:ascii="仿宋" w:hAnsi="仿宋" w:eastAsia="仿宋" w:cs="仿宋"/>
                <w:kern w:val="0"/>
                <w:sz w:val="18"/>
                <w:szCs w:val="18"/>
                <w:lang w:eastAsia="zh-CN"/>
              </w:rPr>
              <w:t>）</w:t>
            </w:r>
          </w:p>
        </w:tc>
      </w:tr>
      <w:tr w14:paraId="050EF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289" w:type="dxa"/>
            <w:gridSpan w:val="2"/>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29CEC92">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 xml:space="preserve">项目资金 </w:t>
            </w:r>
            <w:r>
              <w:rPr>
                <w:rFonts w:hint="eastAsia" w:ascii="仿宋" w:hAnsi="仿宋" w:eastAsia="仿宋" w:cs="仿宋"/>
                <w:kern w:val="0"/>
                <w:sz w:val="18"/>
                <w:szCs w:val="18"/>
                <w:lang w:val="en-US" w:eastAsia="zh-CN"/>
              </w:rPr>
              <w:t xml:space="preserve">  </w:t>
            </w:r>
            <w:r>
              <w:rPr>
                <w:rFonts w:hint="eastAsia" w:ascii="仿宋" w:hAnsi="仿宋" w:eastAsia="仿宋" w:cs="仿宋"/>
                <w:kern w:val="0"/>
                <w:sz w:val="18"/>
                <w:szCs w:val="18"/>
              </w:rPr>
              <w:t>（万元）</w:t>
            </w:r>
          </w:p>
        </w:tc>
        <w:tc>
          <w:tcPr>
            <w:tcW w:w="1740" w:type="dxa"/>
            <w:gridSpan w:val="4"/>
            <w:tcBorders>
              <w:top w:val="nil"/>
              <w:left w:val="nil"/>
              <w:bottom w:val="single" w:color="auto" w:sz="8" w:space="0"/>
              <w:right w:val="single" w:color="auto" w:sz="8" w:space="0"/>
            </w:tcBorders>
            <w:shd w:val="clear" w:color="auto" w:fill="auto"/>
            <w:tcMar>
              <w:left w:w="108" w:type="dxa"/>
              <w:right w:w="108" w:type="dxa"/>
            </w:tcMar>
            <w:vAlign w:val="top"/>
          </w:tcPr>
          <w:p w14:paraId="16E55D45">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　</w:t>
            </w:r>
          </w:p>
        </w:tc>
        <w:tc>
          <w:tcPr>
            <w:tcW w:w="993" w:type="dxa"/>
            <w:tcBorders>
              <w:top w:val="nil"/>
              <w:left w:val="nil"/>
              <w:bottom w:val="single" w:color="auto" w:sz="8" w:space="0"/>
              <w:right w:val="single" w:color="auto" w:sz="8" w:space="0"/>
            </w:tcBorders>
            <w:shd w:val="clear" w:color="auto" w:fill="auto"/>
            <w:tcMar>
              <w:left w:w="108" w:type="dxa"/>
              <w:right w:w="108" w:type="dxa"/>
            </w:tcMar>
            <w:vAlign w:val="top"/>
          </w:tcPr>
          <w:p w14:paraId="36331AD4">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年初预算数</w:t>
            </w: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top"/>
          </w:tcPr>
          <w:p w14:paraId="18341E33">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全年预算数</w:t>
            </w:r>
          </w:p>
        </w:tc>
        <w:tc>
          <w:tcPr>
            <w:tcW w:w="1080" w:type="dxa"/>
            <w:gridSpan w:val="4"/>
            <w:tcBorders>
              <w:top w:val="nil"/>
              <w:left w:val="nil"/>
              <w:bottom w:val="single" w:color="auto" w:sz="8" w:space="0"/>
              <w:right w:val="single" w:color="auto" w:sz="8" w:space="0"/>
            </w:tcBorders>
            <w:shd w:val="clear" w:color="auto" w:fill="auto"/>
            <w:tcMar>
              <w:left w:w="108" w:type="dxa"/>
              <w:right w:w="108" w:type="dxa"/>
            </w:tcMar>
            <w:vAlign w:val="top"/>
          </w:tcPr>
          <w:p w14:paraId="34136B1B">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全年执行数</w:t>
            </w:r>
          </w:p>
        </w:tc>
        <w:tc>
          <w:tcPr>
            <w:tcW w:w="491" w:type="dxa"/>
            <w:tcBorders>
              <w:top w:val="nil"/>
              <w:left w:val="nil"/>
              <w:bottom w:val="single" w:color="auto" w:sz="8" w:space="0"/>
              <w:right w:val="single" w:color="auto" w:sz="8" w:space="0"/>
            </w:tcBorders>
            <w:shd w:val="clear" w:color="auto" w:fill="auto"/>
            <w:tcMar>
              <w:left w:w="108" w:type="dxa"/>
              <w:right w:w="108" w:type="dxa"/>
            </w:tcMar>
            <w:vAlign w:val="center"/>
          </w:tcPr>
          <w:p w14:paraId="308B22EB">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分值</w:t>
            </w:r>
          </w:p>
        </w:tc>
        <w:tc>
          <w:tcPr>
            <w:tcW w:w="1028"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48E0F121">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执行率</w:t>
            </w:r>
          </w:p>
        </w:tc>
        <w:tc>
          <w:tcPr>
            <w:tcW w:w="2594" w:type="dxa"/>
            <w:gridSpan w:val="6"/>
            <w:tcBorders>
              <w:top w:val="nil"/>
              <w:left w:val="nil"/>
              <w:bottom w:val="single" w:color="auto" w:sz="8" w:space="0"/>
              <w:right w:val="single" w:color="auto" w:sz="8" w:space="0"/>
            </w:tcBorders>
            <w:shd w:val="clear" w:color="auto" w:fill="auto"/>
            <w:tcMar>
              <w:left w:w="108" w:type="dxa"/>
              <w:right w:w="108" w:type="dxa"/>
            </w:tcMar>
            <w:vAlign w:val="center"/>
          </w:tcPr>
          <w:p w14:paraId="3C99262B">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得分</w:t>
            </w:r>
          </w:p>
        </w:tc>
      </w:tr>
      <w:tr w14:paraId="6103B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53" w:hRule="atLeast"/>
          <w:jc w:val="center"/>
        </w:trPr>
        <w:tc>
          <w:tcPr>
            <w:tcW w:w="1289" w:type="dxa"/>
            <w:gridSpan w:val="2"/>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98CFC6C">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1740"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2A93226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年度资金总额</w:t>
            </w:r>
          </w:p>
        </w:tc>
        <w:tc>
          <w:tcPr>
            <w:tcW w:w="993" w:type="dxa"/>
            <w:tcBorders>
              <w:top w:val="nil"/>
              <w:left w:val="nil"/>
              <w:bottom w:val="single" w:color="auto" w:sz="8" w:space="0"/>
              <w:right w:val="single" w:color="auto" w:sz="8" w:space="0"/>
            </w:tcBorders>
            <w:shd w:val="clear" w:color="auto" w:fill="auto"/>
            <w:tcMar>
              <w:left w:w="108" w:type="dxa"/>
              <w:right w:w="108" w:type="dxa"/>
            </w:tcMar>
            <w:vAlign w:val="center"/>
          </w:tcPr>
          <w:p w14:paraId="0A061C7E">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15.69</w:t>
            </w: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8AFC0CF">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26.13</w:t>
            </w:r>
          </w:p>
        </w:tc>
        <w:tc>
          <w:tcPr>
            <w:tcW w:w="1080"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13723E0D">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10.44</w:t>
            </w:r>
          </w:p>
        </w:tc>
        <w:tc>
          <w:tcPr>
            <w:tcW w:w="491" w:type="dxa"/>
            <w:tcBorders>
              <w:top w:val="nil"/>
              <w:left w:val="nil"/>
              <w:bottom w:val="single" w:color="auto" w:sz="8" w:space="0"/>
              <w:right w:val="single" w:color="auto" w:sz="8" w:space="0"/>
            </w:tcBorders>
            <w:shd w:val="clear" w:color="auto" w:fill="auto"/>
            <w:tcMar>
              <w:left w:w="108" w:type="dxa"/>
              <w:right w:w="108" w:type="dxa"/>
            </w:tcMar>
            <w:vAlign w:val="center"/>
          </w:tcPr>
          <w:p w14:paraId="65EC340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10</w:t>
            </w:r>
          </w:p>
        </w:tc>
        <w:tc>
          <w:tcPr>
            <w:tcW w:w="1028"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19EFED09">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lang w:val="en-US" w:eastAsia="zh-CN"/>
              </w:rPr>
              <w:t>39.95</w:t>
            </w:r>
            <w:r>
              <w:rPr>
                <w:rFonts w:hint="eastAsia" w:ascii="仿宋" w:hAnsi="仿宋" w:eastAsia="仿宋" w:cs="仿宋"/>
                <w:kern w:val="0"/>
                <w:sz w:val="18"/>
                <w:szCs w:val="18"/>
              </w:rPr>
              <w:t>%</w:t>
            </w:r>
          </w:p>
        </w:tc>
        <w:tc>
          <w:tcPr>
            <w:tcW w:w="2594" w:type="dxa"/>
            <w:gridSpan w:val="6"/>
            <w:tcBorders>
              <w:top w:val="nil"/>
              <w:left w:val="nil"/>
              <w:bottom w:val="single" w:color="auto" w:sz="8" w:space="0"/>
              <w:right w:val="single" w:color="auto" w:sz="8" w:space="0"/>
            </w:tcBorders>
            <w:shd w:val="clear" w:color="auto" w:fill="auto"/>
            <w:tcMar>
              <w:left w:w="108" w:type="dxa"/>
              <w:right w:w="108" w:type="dxa"/>
            </w:tcMar>
            <w:vAlign w:val="center"/>
          </w:tcPr>
          <w:p w14:paraId="717BA6CF">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val="en-US"/>
              </w:rPr>
            </w:pPr>
            <w:r>
              <w:rPr>
                <w:rFonts w:hint="eastAsia" w:ascii="仿宋" w:hAnsi="仿宋" w:eastAsia="仿宋" w:cs="仿宋"/>
                <w:kern w:val="0"/>
                <w:sz w:val="18"/>
                <w:szCs w:val="18"/>
                <w:lang w:val="en-US" w:eastAsia="zh-CN"/>
              </w:rPr>
              <w:t>4</w:t>
            </w:r>
          </w:p>
        </w:tc>
      </w:tr>
      <w:tr w14:paraId="01744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3" w:hRule="atLeast"/>
          <w:jc w:val="center"/>
        </w:trPr>
        <w:tc>
          <w:tcPr>
            <w:tcW w:w="1289" w:type="dxa"/>
            <w:gridSpan w:val="2"/>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42967E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1740"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7587988D">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其中：财政拨款</w:t>
            </w:r>
          </w:p>
        </w:tc>
        <w:tc>
          <w:tcPr>
            <w:tcW w:w="993" w:type="dxa"/>
            <w:tcBorders>
              <w:top w:val="nil"/>
              <w:left w:val="nil"/>
              <w:bottom w:val="single" w:color="auto" w:sz="8" w:space="0"/>
              <w:right w:val="single" w:color="auto" w:sz="8" w:space="0"/>
            </w:tcBorders>
            <w:shd w:val="clear" w:color="auto" w:fill="auto"/>
            <w:tcMar>
              <w:left w:w="108" w:type="dxa"/>
              <w:right w:w="108" w:type="dxa"/>
            </w:tcMar>
            <w:vAlign w:val="center"/>
          </w:tcPr>
          <w:p w14:paraId="0486D5BA">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15.69</w:t>
            </w: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63206E0">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26.13</w:t>
            </w:r>
          </w:p>
        </w:tc>
        <w:tc>
          <w:tcPr>
            <w:tcW w:w="1080"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56EC7883">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10.44</w:t>
            </w:r>
          </w:p>
        </w:tc>
        <w:tc>
          <w:tcPr>
            <w:tcW w:w="491" w:type="dxa"/>
            <w:tcBorders>
              <w:top w:val="nil"/>
              <w:left w:val="nil"/>
              <w:bottom w:val="single" w:color="auto" w:sz="8" w:space="0"/>
              <w:right w:val="single" w:color="auto" w:sz="8" w:space="0"/>
            </w:tcBorders>
            <w:shd w:val="clear" w:color="auto" w:fill="auto"/>
            <w:tcMar>
              <w:left w:w="108" w:type="dxa"/>
              <w:right w:w="108" w:type="dxa"/>
            </w:tcMar>
            <w:vAlign w:val="center"/>
          </w:tcPr>
          <w:p w14:paraId="4995AC21">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w:t>
            </w:r>
          </w:p>
        </w:tc>
        <w:tc>
          <w:tcPr>
            <w:tcW w:w="1028"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0B05F9E1">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lang w:val="en-US" w:eastAsia="zh-CN"/>
              </w:rPr>
              <w:t>39.95</w:t>
            </w:r>
            <w:r>
              <w:rPr>
                <w:rFonts w:hint="eastAsia" w:ascii="仿宋" w:hAnsi="仿宋" w:eastAsia="仿宋" w:cs="仿宋"/>
                <w:kern w:val="0"/>
                <w:sz w:val="18"/>
                <w:szCs w:val="18"/>
              </w:rPr>
              <w:t>%</w:t>
            </w:r>
          </w:p>
        </w:tc>
        <w:tc>
          <w:tcPr>
            <w:tcW w:w="2594" w:type="dxa"/>
            <w:gridSpan w:val="6"/>
            <w:tcBorders>
              <w:top w:val="nil"/>
              <w:left w:val="nil"/>
              <w:bottom w:val="single" w:color="auto" w:sz="8" w:space="0"/>
              <w:right w:val="single" w:color="auto" w:sz="8" w:space="0"/>
            </w:tcBorders>
            <w:shd w:val="clear" w:color="auto" w:fill="auto"/>
            <w:tcMar>
              <w:left w:w="108" w:type="dxa"/>
              <w:right w:w="108" w:type="dxa"/>
            </w:tcMar>
            <w:vAlign w:val="center"/>
          </w:tcPr>
          <w:p w14:paraId="3DEF4EEC">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w:t>
            </w:r>
          </w:p>
        </w:tc>
      </w:tr>
      <w:tr w14:paraId="69C61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1289" w:type="dxa"/>
            <w:gridSpan w:val="2"/>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F7758FF">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1740"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70713480">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其他资金</w:t>
            </w:r>
          </w:p>
        </w:tc>
        <w:tc>
          <w:tcPr>
            <w:tcW w:w="993" w:type="dxa"/>
            <w:tcBorders>
              <w:top w:val="nil"/>
              <w:left w:val="nil"/>
              <w:bottom w:val="single" w:color="auto" w:sz="8" w:space="0"/>
              <w:right w:val="single" w:color="auto" w:sz="8" w:space="0"/>
            </w:tcBorders>
            <w:shd w:val="clear" w:color="auto" w:fill="auto"/>
            <w:tcMar>
              <w:left w:w="108" w:type="dxa"/>
              <w:right w:w="108" w:type="dxa"/>
            </w:tcMar>
            <w:vAlign w:val="center"/>
          </w:tcPr>
          <w:p w14:paraId="69F3ABAE">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B733852">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1080"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31198D48">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491" w:type="dxa"/>
            <w:tcBorders>
              <w:top w:val="nil"/>
              <w:left w:val="nil"/>
              <w:bottom w:val="single" w:color="auto" w:sz="8" w:space="0"/>
              <w:right w:val="single" w:color="auto" w:sz="8" w:space="0"/>
            </w:tcBorders>
            <w:shd w:val="clear" w:color="auto" w:fill="auto"/>
            <w:tcMar>
              <w:left w:w="108" w:type="dxa"/>
              <w:right w:w="108" w:type="dxa"/>
            </w:tcMar>
            <w:vAlign w:val="center"/>
          </w:tcPr>
          <w:p w14:paraId="5ED507B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w:t>
            </w:r>
          </w:p>
        </w:tc>
        <w:tc>
          <w:tcPr>
            <w:tcW w:w="1028"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14:paraId="21928C22">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2594" w:type="dxa"/>
            <w:gridSpan w:val="6"/>
            <w:tcBorders>
              <w:top w:val="nil"/>
              <w:left w:val="nil"/>
              <w:bottom w:val="single" w:color="auto" w:sz="8" w:space="0"/>
              <w:right w:val="single" w:color="auto" w:sz="8" w:space="0"/>
            </w:tcBorders>
            <w:shd w:val="clear" w:color="auto" w:fill="auto"/>
            <w:tcMar>
              <w:left w:w="108" w:type="dxa"/>
              <w:right w:w="108" w:type="dxa"/>
            </w:tcMar>
            <w:vAlign w:val="center"/>
          </w:tcPr>
          <w:p w14:paraId="21A24C61">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w:t>
            </w:r>
          </w:p>
        </w:tc>
      </w:tr>
      <w:tr w14:paraId="189D6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846"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CF4444B">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年度总体目标</w:t>
            </w:r>
          </w:p>
        </w:tc>
        <w:tc>
          <w:tcPr>
            <w:tcW w:w="4063" w:type="dxa"/>
            <w:gridSpan w:val="8"/>
            <w:tcBorders>
              <w:top w:val="nil"/>
              <w:left w:val="nil"/>
              <w:bottom w:val="single" w:color="auto" w:sz="8" w:space="0"/>
              <w:right w:val="single" w:color="auto" w:sz="8" w:space="0"/>
            </w:tcBorders>
            <w:shd w:val="clear" w:color="auto" w:fill="auto"/>
            <w:tcMar>
              <w:left w:w="108" w:type="dxa"/>
              <w:right w:w="108" w:type="dxa"/>
            </w:tcMar>
            <w:vAlign w:val="center"/>
          </w:tcPr>
          <w:p w14:paraId="295F3D1B">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预期目标</w:t>
            </w:r>
          </w:p>
        </w:tc>
        <w:tc>
          <w:tcPr>
            <w:tcW w:w="5193" w:type="dxa"/>
            <w:gridSpan w:val="15"/>
            <w:tcBorders>
              <w:top w:val="nil"/>
              <w:left w:val="nil"/>
              <w:bottom w:val="single" w:color="auto" w:sz="8" w:space="0"/>
              <w:right w:val="single" w:color="auto" w:sz="8" w:space="0"/>
            </w:tcBorders>
            <w:shd w:val="clear" w:color="auto" w:fill="auto"/>
            <w:tcMar>
              <w:left w:w="108" w:type="dxa"/>
              <w:right w:w="108" w:type="dxa"/>
            </w:tcMar>
            <w:vAlign w:val="center"/>
          </w:tcPr>
          <w:p w14:paraId="14842EE7">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实际完成情况</w:t>
            </w:r>
          </w:p>
        </w:tc>
      </w:tr>
      <w:tr w14:paraId="71232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2" w:hRule="atLeast"/>
          <w:jc w:val="center"/>
        </w:trPr>
        <w:tc>
          <w:tcPr>
            <w:tcW w:w="84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9C5386D">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4063" w:type="dxa"/>
            <w:gridSpan w:val="8"/>
            <w:tcBorders>
              <w:top w:val="nil"/>
              <w:left w:val="nil"/>
              <w:bottom w:val="single" w:color="auto" w:sz="8" w:space="0"/>
              <w:right w:val="single" w:color="auto" w:sz="8" w:space="0"/>
            </w:tcBorders>
            <w:shd w:val="clear" w:color="auto" w:fill="auto"/>
            <w:tcMar>
              <w:left w:w="108" w:type="dxa"/>
              <w:right w:w="108" w:type="dxa"/>
            </w:tcMar>
            <w:vAlign w:val="center"/>
          </w:tcPr>
          <w:p w14:paraId="7B06134E">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及时</w:t>
            </w:r>
            <w:r>
              <w:rPr>
                <w:rFonts w:hint="eastAsia" w:ascii="仿宋" w:hAnsi="仿宋" w:eastAsia="仿宋" w:cs="仿宋"/>
                <w:kern w:val="0"/>
                <w:sz w:val="18"/>
                <w:szCs w:val="18"/>
                <w:lang w:eastAsia="zh-CN"/>
              </w:rPr>
              <w:t>发放</w:t>
            </w:r>
            <w:r>
              <w:rPr>
                <w:rFonts w:hint="eastAsia" w:ascii="仿宋" w:hAnsi="仿宋" w:eastAsia="仿宋" w:cs="仿宋"/>
                <w:kern w:val="0"/>
                <w:sz w:val="18"/>
                <w:szCs w:val="18"/>
              </w:rPr>
              <w:t>参与新冠肺炎疫情救治及防控相关医务人员过渡期临时性补助</w:t>
            </w:r>
          </w:p>
        </w:tc>
        <w:tc>
          <w:tcPr>
            <w:tcW w:w="5193" w:type="dxa"/>
            <w:gridSpan w:val="15"/>
            <w:tcBorders>
              <w:top w:val="nil"/>
              <w:left w:val="nil"/>
              <w:bottom w:val="single" w:color="auto" w:sz="8" w:space="0"/>
              <w:right w:val="single" w:color="auto" w:sz="8" w:space="0"/>
            </w:tcBorders>
            <w:shd w:val="clear" w:color="auto" w:fill="auto"/>
            <w:tcMar>
              <w:left w:w="108" w:type="dxa"/>
              <w:right w:w="108" w:type="dxa"/>
            </w:tcMar>
            <w:vAlign w:val="center"/>
          </w:tcPr>
          <w:p w14:paraId="442FD594">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val="en-US" w:eastAsia="zh-CN"/>
              </w:rPr>
              <w:t>项目</w:t>
            </w:r>
            <w:r>
              <w:rPr>
                <w:rFonts w:hint="eastAsia" w:ascii="仿宋" w:hAnsi="仿宋" w:eastAsia="仿宋" w:cs="仿宋"/>
                <w:kern w:val="0"/>
                <w:sz w:val="18"/>
                <w:szCs w:val="18"/>
                <w:lang w:eastAsia="zh-CN"/>
              </w:rPr>
              <w:t>资金已根据文件要求用于</w:t>
            </w:r>
            <w:r>
              <w:rPr>
                <w:rFonts w:hint="eastAsia" w:ascii="仿宋" w:hAnsi="仿宋" w:eastAsia="仿宋" w:cs="仿宋"/>
                <w:kern w:val="0"/>
                <w:sz w:val="18"/>
                <w:szCs w:val="18"/>
                <w:lang w:val="en-US" w:eastAsia="zh-CN"/>
              </w:rPr>
              <w:t>发放符合条件的</w:t>
            </w:r>
            <w:r>
              <w:rPr>
                <w:rFonts w:hint="eastAsia" w:ascii="仿宋" w:hAnsi="仿宋" w:eastAsia="仿宋" w:cs="仿宋"/>
                <w:kern w:val="0"/>
                <w:sz w:val="18"/>
                <w:szCs w:val="18"/>
                <w:lang w:eastAsia="zh-CN"/>
              </w:rPr>
              <w:t>过渡期内相关医务人员临时性工作补助。</w:t>
            </w:r>
          </w:p>
        </w:tc>
      </w:tr>
      <w:tr w14:paraId="0E5A0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846"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572429B">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绩  效 指  标（100）</w:t>
            </w:r>
          </w:p>
        </w:tc>
        <w:tc>
          <w:tcPr>
            <w:tcW w:w="8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26CA453">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一级指标</w:t>
            </w:r>
          </w:p>
        </w:tc>
        <w:tc>
          <w:tcPr>
            <w:tcW w:w="1337"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3982ED27">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二级指标</w:t>
            </w:r>
          </w:p>
        </w:tc>
        <w:tc>
          <w:tcPr>
            <w:tcW w:w="993" w:type="dxa"/>
            <w:tcBorders>
              <w:top w:val="nil"/>
              <w:left w:val="nil"/>
              <w:bottom w:val="single" w:color="auto" w:sz="8" w:space="0"/>
              <w:right w:val="single" w:color="auto" w:sz="8" w:space="0"/>
            </w:tcBorders>
            <w:shd w:val="clear" w:color="auto" w:fill="auto"/>
            <w:tcMar>
              <w:left w:w="108" w:type="dxa"/>
              <w:right w:w="108" w:type="dxa"/>
            </w:tcMar>
            <w:vAlign w:val="center"/>
          </w:tcPr>
          <w:p w14:paraId="0081EB5A">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三级指标</w:t>
            </w: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61F8EB21">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年度指标值</w:t>
            </w:r>
          </w:p>
        </w:tc>
        <w:tc>
          <w:tcPr>
            <w:tcW w:w="9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7565908">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实际完成值</w:t>
            </w:r>
          </w:p>
        </w:tc>
        <w:tc>
          <w:tcPr>
            <w:tcW w:w="60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578A93E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分值</w:t>
            </w:r>
          </w:p>
        </w:tc>
        <w:tc>
          <w:tcPr>
            <w:tcW w:w="581"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57C7BB81">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得分</w:t>
            </w:r>
          </w:p>
        </w:tc>
        <w:tc>
          <w:tcPr>
            <w:tcW w:w="3041" w:type="dxa"/>
            <w:gridSpan w:val="7"/>
            <w:tcBorders>
              <w:top w:val="nil"/>
              <w:left w:val="nil"/>
              <w:bottom w:val="single" w:color="auto" w:sz="8" w:space="0"/>
              <w:right w:val="single" w:color="auto" w:sz="8" w:space="0"/>
            </w:tcBorders>
            <w:shd w:val="clear" w:color="auto" w:fill="auto"/>
            <w:tcMar>
              <w:left w:w="108" w:type="dxa"/>
              <w:right w:w="108" w:type="dxa"/>
            </w:tcMar>
            <w:vAlign w:val="center"/>
          </w:tcPr>
          <w:p w14:paraId="223F33A5">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偏差原因分析及改进措施</w:t>
            </w:r>
          </w:p>
        </w:tc>
      </w:tr>
      <w:tr w14:paraId="751FE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6" w:hRule="atLeast"/>
          <w:jc w:val="center"/>
        </w:trPr>
        <w:tc>
          <w:tcPr>
            <w:tcW w:w="84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2EB469B">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846" w:type="dxa"/>
            <w:gridSpan w:val="2"/>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3D0E3E14">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产出指标（80）</w:t>
            </w:r>
          </w:p>
        </w:tc>
        <w:tc>
          <w:tcPr>
            <w:tcW w:w="1337" w:type="dxa"/>
            <w:gridSpan w:val="3"/>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2098B544">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数量指标</w:t>
            </w:r>
          </w:p>
        </w:tc>
        <w:tc>
          <w:tcPr>
            <w:tcW w:w="993" w:type="dxa"/>
            <w:tcBorders>
              <w:top w:val="nil"/>
              <w:left w:val="nil"/>
              <w:bottom w:val="single" w:color="auto" w:sz="8" w:space="0"/>
              <w:right w:val="single" w:color="auto" w:sz="8" w:space="0"/>
            </w:tcBorders>
            <w:shd w:val="clear" w:color="auto" w:fill="auto"/>
            <w:tcMar>
              <w:left w:w="108" w:type="dxa"/>
              <w:right w:w="108" w:type="dxa"/>
            </w:tcMar>
            <w:vAlign w:val="center"/>
          </w:tcPr>
          <w:p w14:paraId="070B5ADD">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医疗机构数量</w:t>
            </w: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82C09CD">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val="en-US" w:eastAsia="zh-CN"/>
              </w:rPr>
              <w:t>1个</w:t>
            </w:r>
          </w:p>
        </w:tc>
        <w:tc>
          <w:tcPr>
            <w:tcW w:w="9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EF855C1">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val="en-US" w:eastAsia="zh-CN"/>
              </w:rPr>
              <w:t>1个</w:t>
            </w:r>
          </w:p>
        </w:tc>
        <w:tc>
          <w:tcPr>
            <w:tcW w:w="60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0E0A1F1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8</w:t>
            </w:r>
          </w:p>
        </w:tc>
        <w:tc>
          <w:tcPr>
            <w:tcW w:w="581"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3E21B678">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8</w:t>
            </w:r>
          </w:p>
        </w:tc>
        <w:tc>
          <w:tcPr>
            <w:tcW w:w="3041" w:type="dxa"/>
            <w:gridSpan w:val="7"/>
            <w:tcBorders>
              <w:top w:val="nil"/>
              <w:left w:val="nil"/>
              <w:bottom w:val="single" w:color="auto" w:sz="8" w:space="0"/>
              <w:right w:val="single" w:color="auto" w:sz="8" w:space="0"/>
            </w:tcBorders>
            <w:shd w:val="clear" w:color="auto" w:fill="auto"/>
            <w:tcMar>
              <w:left w:w="108" w:type="dxa"/>
              <w:right w:w="108" w:type="dxa"/>
            </w:tcMar>
            <w:vAlign w:val="top"/>
          </w:tcPr>
          <w:p w14:paraId="3B307328">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r>
      <w:tr w14:paraId="0AC51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8" w:hRule="atLeast"/>
          <w:jc w:val="center"/>
        </w:trPr>
        <w:tc>
          <w:tcPr>
            <w:tcW w:w="84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3477143">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846" w:type="dxa"/>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31B7C717">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1337" w:type="dxa"/>
            <w:gridSpan w:val="3"/>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29C0224B">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993" w:type="dxa"/>
            <w:tcBorders>
              <w:top w:val="nil"/>
              <w:left w:val="nil"/>
              <w:bottom w:val="single" w:color="auto" w:sz="8" w:space="0"/>
              <w:right w:val="single" w:color="auto" w:sz="8" w:space="0"/>
            </w:tcBorders>
            <w:shd w:val="clear" w:color="auto" w:fill="auto"/>
            <w:tcMar>
              <w:left w:w="108" w:type="dxa"/>
              <w:right w:w="108" w:type="dxa"/>
            </w:tcMar>
            <w:vAlign w:val="center"/>
          </w:tcPr>
          <w:p w14:paraId="4AE4587C">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补助人次</w:t>
            </w: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D7E0578">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113</w:t>
            </w:r>
          </w:p>
        </w:tc>
        <w:tc>
          <w:tcPr>
            <w:tcW w:w="9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43CD72D">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43</w:t>
            </w:r>
          </w:p>
        </w:tc>
        <w:tc>
          <w:tcPr>
            <w:tcW w:w="60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003A0EDF">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7</w:t>
            </w:r>
          </w:p>
        </w:tc>
        <w:tc>
          <w:tcPr>
            <w:tcW w:w="581"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0E387890">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val="en-US" w:eastAsia="zh-CN"/>
              </w:rPr>
              <w:t>3</w:t>
            </w:r>
          </w:p>
        </w:tc>
        <w:tc>
          <w:tcPr>
            <w:tcW w:w="3041" w:type="dxa"/>
            <w:gridSpan w:val="7"/>
            <w:tcBorders>
              <w:top w:val="nil"/>
              <w:left w:val="nil"/>
              <w:bottom w:val="single" w:color="auto" w:sz="8" w:space="0"/>
              <w:right w:val="single" w:color="auto" w:sz="8" w:space="0"/>
            </w:tcBorders>
            <w:shd w:val="clear" w:color="auto" w:fill="auto"/>
            <w:tcMar>
              <w:left w:w="108" w:type="dxa"/>
              <w:right w:w="108" w:type="dxa"/>
            </w:tcMar>
            <w:vAlign w:val="top"/>
          </w:tcPr>
          <w:p w14:paraId="21BC871B">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我院严格对照补助发放政策标准、人员认定范围及核算依据核查，确认无符合发放条件的人员</w:t>
            </w:r>
            <w:r>
              <w:rPr>
                <w:rFonts w:hint="eastAsia" w:ascii="仿宋" w:hAnsi="仿宋" w:eastAsia="仿宋" w:cs="仿宋"/>
                <w:kern w:val="0"/>
                <w:sz w:val="18"/>
                <w:szCs w:val="18"/>
                <w:lang w:eastAsia="zh-CN"/>
              </w:rPr>
              <w:t>，</w:t>
            </w:r>
            <w:r>
              <w:rPr>
                <w:rFonts w:hint="eastAsia" w:ascii="仿宋" w:hAnsi="仿宋" w:eastAsia="仿宋" w:cs="仿宋"/>
                <w:kern w:val="0"/>
                <w:sz w:val="18"/>
                <w:szCs w:val="18"/>
                <w:lang w:val="en-US" w:eastAsia="zh-CN"/>
              </w:rPr>
              <w:t>结余资金已返还财政。</w:t>
            </w:r>
          </w:p>
        </w:tc>
      </w:tr>
      <w:tr w14:paraId="58552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6" w:hRule="atLeast"/>
          <w:jc w:val="center"/>
        </w:trPr>
        <w:tc>
          <w:tcPr>
            <w:tcW w:w="84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DAB8429">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846" w:type="dxa"/>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16C50C04">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1337" w:type="dxa"/>
            <w:gridSpan w:val="3"/>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13A6FF7F">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质量指标</w:t>
            </w:r>
          </w:p>
        </w:tc>
        <w:tc>
          <w:tcPr>
            <w:tcW w:w="993" w:type="dxa"/>
            <w:tcBorders>
              <w:top w:val="nil"/>
              <w:left w:val="nil"/>
              <w:bottom w:val="single" w:color="auto" w:sz="8" w:space="0"/>
              <w:right w:val="single" w:color="auto" w:sz="8" w:space="0"/>
            </w:tcBorders>
            <w:shd w:val="clear" w:color="auto" w:fill="auto"/>
            <w:tcMar>
              <w:left w:w="108" w:type="dxa"/>
              <w:right w:w="108" w:type="dxa"/>
            </w:tcMar>
            <w:vAlign w:val="center"/>
          </w:tcPr>
          <w:p w14:paraId="0CA75055">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人员补助完成率</w:t>
            </w: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6069879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100</w:t>
            </w:r>
          </w:p>
        </w:tc>
        <w:tc>
          <w:tcPr>
            <w:tcW w:w="9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D599F64">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43</w:t>
            </w:r>
          </w:p>
        </w:tc>
        <w:tc>
          <w:tcPr>
            <w:tcW w:w="60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072521F8">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8</w:t>
            </w:r>
          </w:p>
        </w:tc>
        <w:tc>
          <w:tcPr>
            <w:tcW w:w="581"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391151D2">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3.5</w:t>
            </w:r>
          </w:p>
        </w:tc>
        <w:tc>
          <w:tcPr>
            <w:tcW w:w="3041" w:type="dxa"/>
            <w:gridSpan w:val="7"/>
            <w:tcBorders>
              <w:top w:val="nil"/>
              <w:left w:val="nil"/>
              <w:bottom w:val="single" w:color="auto" w:sz="8" w:space="0"/>
              <w:right w:val="single" w:color="auto" w:sz="8" w:space="0"/>
            </w:tcBorders>
            <w:shd w:val="clear" w:color="auto" w:fill="auto"/>
            <w:tcMar>
              <w:left w:w="108" w:type="dxa"/>
              <w:right w:w="108" w:type="dxa"/>
            </w:tcMar>
            <w:vAlign w:val="top"/>
          </w:tcPr>
          <w:p w14:paraId="1B5A2F68">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我院严格对照补助发放政策标准、人员认定范围及核算依据核查，确认无符合发放条件的人员</w:t>
            </w:r>
            <w:r>
              <w:rPr>
                <w:rFonts w:hint="eastAsia" w:ascii="仿宋" w:hAnsi="仿宋" w:eastAsia="仿宋" w:cs="仿宋"/>
                <w:kern w:val="0"/>
                <w:sz w:val="18"/>
                <w:szCs w:val="18"/>
                <w:lang w:eastAsia="zh-CN"/>
              </w:rPr>
              <w:t>，</w:t>
            </w:r>
            <w:r>
              <w:rPr>
                <w:rFonts w:hint="eastAsia" w:ascii="仿宋" w:hAnsi="仿宋" w:eastAsia="仿宋" w:cs="仿宋"/>
                <w:kern w:val="0"/>
                <w:sz w:val="18"/>
                <w:szCs w:val="18"/>
                <w:lang w:val="en-US" w:eastAsia="zh-CN"/>
              </w:rPr>
              <w:t>结余资金已返还财政。</w:t>
            </w:r>
          </w:p>
        </w:tc>
      </w:tr>
      <w:tr w14:paraId="4DA6D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84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C2CCAD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846" w:type="dxa"/>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7C093162">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1337" w:type="dxa"/>
            <w:gridSpan w:val="3"/>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76A51C67">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993" w:type="dxa"/>
            <w:tcBorders>
              <w:top w:val="nil"/>
              <w:left w:val="nil"/>
              <w:bottom w:val="single" w:color="auto" w:sz="8" w:space="0"/>
              <w:right w:val="single" w:color="auto" w:sz="8" w:space="0"/>
            </w:tcBorders>
            <w:shd w:val="clear" w:color="auto" w:fill="auto"/>
            <w:tcMar>
              <w:left w:w="108" w:type="dxa"/>
              <w:right w:w="108" w:type="dxa"/>
            </w:tcMar>
            <w:vAlign w:val="center"/>
          </w:tcPr>
          <w:p w14:paraId="47CC480A">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补助人员覆盖率</w:t>
            </w: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A715172">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100</w:t>
            </w:r>
          </w:p>
        </w:tc>
        <w:tc>
          <w:tcPr>
            <w:tcW w:w="9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D59231E">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100</w:t>
            </w:r>
          </w:p>
        </w:tc>
        <w:tc>
          <w:tcPr>
            <w:tcW w:w="60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6E4106D4">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7</w:t>
            </w:r>
          </w:p>
        </w:tc>
        <w:tc>
          <w:tcPr>
            <w:tcW w:w="581"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2E3E646F">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7</w:t>
            </w:r>
          </w:p>
        </w:tc>
        <w:tc>
          <w:tcPr>
            <w:tcW w:w="3041" w:type="dxa"/>
            <w:gridSpan w:val="7"/>
            <w:tcBorders>
              <w:top w:val="nil"/>
              <w:left w:val="nil"/>
              <w:bottom w:val="single" w:color="auto" w:sz="8" w:space="0"/>
              <w:right w:val="single" w:color="auto" w:sz="8" w:space="0"/>
            </w:tcBorders>
            <w:shd w:val="clear" w:color="auto" w:fill="auto"/>
            <w:tcMar>
              <w:left w:w="108" w:type="dxa"/>
              <w:right w:w="108" w:type="dxa"/>
            </w:tcMar>
            <w:vAlign w:val="top"/>
          </w:tcPr>
          <w:p w14:paraId="4AFCE980">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r>
      <w:tr w14:paraId="46D61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8" w:hRule="atLeast"/>
          <w:jc w:val="center"/>
        </w:trPr>
        <w:tc>
          <w:tcPr>
            <w:tcW w:w="84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94CC03C">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846" w:type="dxa"/>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5A7EE97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1337" w:type="dxa"/>
            <w:gridSpan w:val="3"/>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221C8749">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时效指标</w:t>
            </w:r>
          </w:p>
        </w:tc>
        <w:tc>
          <w:tcPr>
            <w:tcW w:w="993" w:type="dxa"/>
            <w:tcBorders>
              <w:top w:val="nil"/>
              <w:left w:val="nil"/>
              <w:bottom w:val="single" w:color="auto" w:sz="8" w:space="0"/>
              <w:right w:val="single" w:color="auto" w:sz="8" w:space="0"/>
            </w:tcBorders>
            <w:shd w:val="clear" w:color="auto" w:fill="auto"/>
            <w:tcMar>
              <w:left w:w="108" w:type="dxa"/>
              <w:right w:w="108" w:type="dxa"/>
            </w:tcMar>
            <w:vAlign w:val="center"/>
          </w:tcPr>
          <w:p w14:paraId="131A26A4">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完成时限</w:t>
            </w: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584F8138">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30日</w:t>
            </w:r>
          </w:p>
        </w:tc>
        <w:tc>
          <w:tcPr>
            <w:tcW w:w="9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6A422120">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30日</w:t>
            </w:r>
          </w:p>
        </w:tc>
        <w:tc>
          <w:tcPr>
            <w:tcW w:w="60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66528C13">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5</w:t>
            </w:r>
          </w:p>
        </w:tc>
        <w:tc>
          <w:tcPr>
            <w:tcW w:w="581"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4925AE5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5</w:t>
            </w:r>
          </w:p>
        </w:tc>
        <w:tc>
          <w:tcPr>
            <w:tcW w:w="3041" w:type="dxa"/>
            <w:gridSpan w:val="7"/>
            <w:tcBorders>
              <w:top w:val="nil"/>
              <w:left w:val="nil"/>
              <w:bottom w:val="single" w:color="auto" w:sz="8" w:space="0"/>
              <w:right w:val="single" w:color="auto" w:sz="8" w:space="0"/>
            </w:tcBorders>
            <w:shd w:val="clear" w:color="auto" w:fill="auto"/>
            <w:tcMar>
              <w:left w:w="108" w:type="dxa"/>
              <w:right w:w="108" w:type="dxa"/>
            </w:tcMar>
            <w:vAlign w:val="top"/>
          </w:tcPr>
          <w:p w14:paraId="142BDD2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r>
      <w:tr w14:paraId="07CEE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84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96F26CC">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846" w:type="dxa"/>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73672CF1">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1337" w:type="dxa"/>
            <w:gridSpan w:val="3"/>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4E570620">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993" w:type="dxa"/>
            <w:tcBorders>
              <w:top w:val="nil"/>
              <w:left w:val="nil"/>
              <w:bottom w:val="single" w:color="auto" w:sz="8" w:space="0"/>
              <w:right w:val="single" w:color="auto" w:sz="8" w:space="0"/>
            </w:tcBorders>
            <w:shd w:val="clear" w:color="auto" w:fill="auto"/>
            <w:tcMar>
              <w:left w:w="108" w:type="dxa"/>
              <w:right w:w="108" w:type="dxa"/>
            </w:tcMar>
            <w:vAlign w:val="center"/>
          </w:tcPr>
          <w:p w14:paraId="2ED4904B">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资金发放及时率</w:t>
            </w: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69FBF29">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100</w:t>
            </w:r>
          </w:p>
        </w:tc>
        <w:tc>
          <w:tcPr>
            <w:tcW w:w="9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6864D03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100</w:t>
            </w:r>
          </w:p>
        </w:tc>
        <w:tc>
          <w:tcPr>
            <w:tcW w:w="60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43774A40">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5</w:t>
            </w:r>
          </w:p>
        </w:tc>
        <w:tc>
          <w:tcPr>
            <w:tcW w:w="581"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630F32C3">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5</w:t>
            </w:r>
          </w:p>
        </w:tc>
        <w:tc>
          <w:tcPr>
            <w:tcW w:w="3041" w:type="dxa"/>
            <w:gridSpan w:val="7"/>
            <w:tcBorders>
              <w:top w:val="nil"/>
              <w:left w:val="nil"/>
              <w:bottom w:val="single" w:color="auto" w:sz="8" w:space="0"/>
              <w:right w:val="single" w:color="auto" w:sz="8" w:space="0"/>
            </w:tcBorders>
            <w:shd w:val="clear" w:color="auto" w:fill="auto"/>
            <w:tcMar>
              <w:left w:w="108" w:type="dxa"/>
              <w:right w:w="108" w:type="dxa"/>
            </w:tcMar>
            <w:vAlign w:val="top"/>
          </w:tcPr>
          <w:p w14:paraId="2A74B9B9">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r>
      <w:tr w14:paraId="7A197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6" w:hRule="atLeast"/>
          <w:jc w:val="center"/>
        </w:trPr>
        <w:tc>
          <w:tcPr>
            <w:tcW w:w="84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717311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846" w:type="dxa"/>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3624A985">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1337"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24702D8E">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成本指标</w:t>
            </w:r>
          </w:p>
        </w:tc>
        <w:tc>
          <w:tcPr>
            <w:tcW w:w="993" w:type="dxa"/>
            <w:tcBorders>
              <w:top w:val="nil"/>
              <w:left w:val="nil"/>
              <w:bottom w:val="single" w:color="auto" w:sz="8" w:space="0"/>
              <w:right w:val="single" w:color="auto" w:sz="8" w:space="0"/>
            </w:tcBorders>
            <w:shd w:val="clear" w:color="auto" w:fill="auto"/>
            <w:tcMar>
              <w:left w:w="108" w:type="dxa"/>
              <w:right w:w="108" w:type="dxa"/>
            </w:tcMar>
            <w:vAlign w:val="center"/>
          </w:tcPr>
          <w:p w14:paraId="5707B605">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补助发放金额</w:t>
            </w: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DFC7CD3">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26.13</w:t>
            </w:r>
          </w:p>
        </w:tc>
        <w:tc>
          <w:tcPr>
            <w:tcW w:w="9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31BFFE6">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10.44</w:t>
            </w:r>
          </w:p>
        </w:tc>
        <w:tc>
          <w:tcPr>
            <w:tcW w:w="60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384D2AE3">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10</w:t>
            </w:r>
          </w:p>
        </w:tc>
        <w:tc>
          <w:tcPr>
            <w:tcW w:w="581"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578507D6">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4</w:t>
            </w:r>
          </w:p>
        </w:tc>
        <w:tc>
          <w:tcPr>
            <w:tcW w:w="3041" w:type="dxa"/>
            <w:gridSpan w:val="7"/>
            <w:tcBorders>
              <w:top w:val="nil"/>
              <w:left w:val="nil"/>
              <w:bottom w:val="single" w:color="auto" w:sz="8" w:space="0"/>
              <w:right w:val="single" w:color="auto" w:sz="8" w:space="0"/>
            </w:tcBorders>
            <w:shd w:val="clear" w:color="auto" w:fill="auto"/>
            <w:tcMar>
              <w:left w:w="108" w:type="dxa"/>
              <w:right w:w="108" w:type="dxa"/>
            </w:tcMar>
            <w:vAlign w:val="top"/>
          </w:tcPr>
          <w:p w14:paraId="2D80CABE">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rPr>
              <w:t>我院严格对照补助发放政策标准、人员认定范围及核算依据核查，确认无符合发放条件的人员</w:t>
            </w:r>
            <w:r>
              <w:rPr>
                <w:rFonts w:hint="eastAsia" w:ascii="仿宋" w:hAnsi="仿宋" w:eastAsia="仿宋" w:cs="仿宋"/>
                <w:kern w:val="0"/>
                <w:sz w:val="18"/>
                <w:szCs w:val="18"/>
                <w:lang w:eastAsia="zh-CN"/>
              </w:rPr>
              <w:t>，</w:t>
            </w:r>
            <w:r>
              <w:rPr>
                <w:rFonts w:hint="eastAsia" w:ascii="仿宋" w:hAnsi="仿宋" w:eastAsia="仿宋" w:cs="仿宋"/>
                <w:kern w:val="0"/>
                <w:sz w:val="18"/>
                <w:szCs w:val="18"/>
                <w:lang w:val="en-US" w:eastAsia="zh-CN"/>
              </w:rPr>
              <w:t>结余资金已返还财政。</w:t>
            </w:r>
          </w:p>
        </w:tc>
      </w:tr>
      <w:tr w14:paraId="62518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84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C90556E">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846" w:type="dxa"/>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66AF59E8">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1337"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736FC33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社会效益指标</w:t>
            </w:r>
          </w:p>
        </w:tc>
        <w:tc>
          <w:tcPr>
            <w:tcW w:w="993" w:type="dxa"/>
            <w:tcBorders>
              <w:top w:val="nil"/>
              <w:left w:val="nil"/>
              <w:bottom w:val="single" w:color="auto" w:sz="8" w:space="0"/>
              <w:right w:val="single" w:color="auto" w:sz="8" w:space="0"/>
            </w:tcBorders>
            <w:shd w:val="clear" w:color="auto" w:fill="auto"/>
            <w:tcMar>
              <w:left w:w="108" w:type="dxa"/>
              <w:right w:w="108" w:type="dxa"/>
            </w:tcMar>
            <w:vAlign w:val="center"/>
          </w:tcPr>
          <w:p w14:paraId="3A0B1468">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向医务人员发放工作补助</w:t>
            </w: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366AE41">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提高医务人员工作积极性</w:t>
            </w:r>
          </w:p>
        </w:tc>
        <w:tc>
          <w:tcPr>
            <w:tcW w:w="9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1CB2313">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医务人员工作积极性得到提高</w:t>
            </w:r>
          </w:p>
        </w:tc>
        <w:tc>
          <w:tcPr>
            <w:tcW w:w="60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4B721452">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15</w:t>
            </w:r>
          </w:p>
        </w:tc>
        <w:tc>
          <w:tcPr>
            <w:tcW w:w="581"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7A1185E2">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15</w:t>
            </w:r>
          </w:p>
        </w:tc>
        <w:tc>
          <w:tcPr>
            <w:tcW w:w="3041" w:type="dxa"/>
            <w:gridSpan w:val="7"/>
            <w:tcBorders>
              <w:top w:val="nil"/>
              <w:left w:val="nil"/>
              <w:bottom w:val="single" w:color="auto" w:sz="8" w:space="0"/>
              <w:right w:val="single" w:color="auto" w:sz="8" w:space="0"/>
            </w:tcBorders>
            <w:shd w:val="clear" w:color="auto" w:fill="auto"/>
            <w:tcMar>
              <w:left w:w="108" w:type="dxa"/>
              <w:right w:w="108" w:type="dxa"/>
            </w:tcMar>
            <w:vAlign w:val="top"/>
          </w:tcPr>
          <w:p w14:paraId="5643B2B0">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p>
        </w:tc>
      </w:tr>
      <w:tr w14:paraId="0DCF7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6" w:hRule="atLeast"/>
          <w:jc w:val="center"/>
        </w:trPr>
        <w:tc>
          <w:tcPr>
            <w:tcW w:w="84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2A8B5E9">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846" w:type="dxa"/>
            <w:gridSpan w:val="2"/>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63C6ABBD">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1337"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634B2EAE">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可持续影响 指   标</w:t>
            </w:r>
          </w:p>
        </w:tc>
        <w:tc>
          <w:tcPr>
            <w:tcW w:w="993" w:type="dxa"/>
            <w:tcBorders>
              <w:top w:val="nil"/>
              <w:left w:val="nil"/>
              <w:bottom w:val="single" w:color="auto" w:sz="8" w:space="0"/>
              <w:right w:val="single" w:color="auto" w:sz="8" w:space="0"/>
            </w:tcBorders>
            <w:shd w:val="clear" w:color="auto" w:fill="auto"/>
            <w:tcMar>
              <w:left w:w="108" w:type="dxa"/>
              <w:right w:w="108" w:type="dxa"/>
            </w:tcMar>
            <w:vAlign w:val="center"/>
          </w:tcPr>
          <w:p w14:paraId="3CC06E8E">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医务人员工作能力</w:t>
            </w: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72AD1F1">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提高</w:t>
            </w:r>
          </w:p>
        </w:tc>
        <w:tc>
          <w:tcPr>
            <w:tcW w:w="9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115A7E2">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eastAsia="zh-CN"/>
              </w:rPr>
              <w:t>工作能力得到提高</w:t>
            </w:r>
          </w:p>
        </w:tc>
        <w:tc>
          <w:tcPr>
            <w:tcW w:w="60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22B2FB4A">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15</w:t>
            </w:r>
          </w:p>
        </w:tc>
        <w:tc>
          <w:tcPr>
            <w:tcW w:w="581"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46B695D5">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15</w:t>
            </w:r>
          </w:p>
        </w:tc>
        <w:tc>
          <w:tcPr>
            <w:tcW w:w="3041" w:type="dxa"/>
            <w:gridSpan w:val="7"/>
            <w:tcBorders>
              <w:top w:val="nil"/>
              <w:left w:val="nil"/>
              <w:bottom w:val="single" w:color="auto" w:sz="8" w:space="0"/>
              <w:right w:val="single" w:color="auto" w:sz="8" w:space="0"/>
            </w:tcBorders>
            <w:shd w:val="clear" w:color="auto" w:fill="auto"/>
            <w:tcMar>
              <w:left w:w="108" w:type="dxa"/>
              <w:right w:w="108" w:type="dxa"/>
            </w:tcMar>
            <w:vAlign w:val="top"/>
          </w:tcPr>
          <w:p w14:paraId="5945109F">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r>
      <w:tr w14:paraId="29276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84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AFE6310">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c>
          <w:tcPr>
            <w:tcW w:w="8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978554A">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满意度 指  标（20）</w:t>
            </w:r>
          </w:p>
        </w:tc>
        <w:tc>
          <w:tcPr>
            <w:tcW w:w="1337"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3B0BFDEB">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服务对象满意度指标</w:t>
            </w:r>
          </w:p>
        </w:tc>
        <w:tc>
          <w:tcPr>
            <w:tcW w:w="993" w:type="dxa"/>
            <w:tcBorders>
              <w:top w:val="nil"/>
              <w:left w:val="nil"/>
              <w:bottom w:val="single" w:color="auto" w:sz="8" w:space="0"/>
              <w:right w:val="single" w:color="auto" w:sz="8" w:space="0"/>
            </w:tcBorders>
            <w:shd w:val="clear" w:color="auto" w:fill="auto"/>
            <w:tcMar>
              <w:left w:w="108" w:type="dxa"/>
              <w:right w:w="108" w:type="dxa"/>
            </w:tcMar>
            <w:vAlign w:val="center"/>
          </w:tcPr>
          <w:p w14:paraId="673FFB65">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lang w:eastAsia="zh-CN"/>
              </w:rPr>
              <w:t>医务人员</w:t>
            </w:r>
            <w:r>
              <w:rPr>
                <w:rFonts w:hint="eastAsia" w:ascii="仿宋" w:hAnsi="仿宋" w:eastAsia="仿宋" w:cs="仿宋"/>
                <w:kern w:val="0"/>
                <w:sz w:val="18"/>
                <w:szCs w:val="18"/>
              </w:rPr>
              <w:t>满意度</w:t>
            </w:r>
          </w:p>
        </w:tc>
        <w:tc>
          <w:tcPr>
            <w:tcW w:w="887"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A73C286">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90</w:t>
            </w:r>
          </w:p>
        </w:tc>
        <w:tc>
          <w:tcPr>
            <w:tcW w:w="9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0C54FE0">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90</w:t>
            </w:r>
          </w:p>
        </w:tc>
        <w:tc>
          <w:tcPr>
            <w:tcW w:w="60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6B73D8C4">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20</w:t>
            </w:r>
          </w:p>
        </w:tc>
        <w:tc>
          <w:tcPr>
            <w:tcW w:w="581"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66C3C6CF">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20</w:t>
            </w:r>
          </w:p>
        </w:tc>
        <w:tc>
          <w:tcPr>
            <w:tcW w:w="3041" w:type="dxa"/>
            <w:gridSpan w:val="7"/>
            <w:tcBorders>
              <w:top w:val="nil"/>
              <w:left w:val="nil"/>
              <w:bottom w:val="single" w:color="auto" w:sz="8" w:space="0"/>
              <w:right w:val="single" w:color="auto" w:sz="8" w:space="0"/>
            </w:tcBorders>
            <w:shd w:val="clear" w:color="auto" w:fill="auto"/>
            <w:tcMar>
              <w:left w:w="108" w:type="dxa"/>
              <w:right w:w="108" w:type="dxa"/>
            </w:tcMar>
            <w:vAlign w:val="top"/>
          </w:tcPr>
          <w:p w14:paraId="3EDD5FC5">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p>
        </w:tc>
      </w:tr>
      <w:tr w14:paraId="57FB9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5" w:hRule="atLeast"/>
          <w:jc w:val="center"/>
        </w:trPr>
        <w:tc>
          <w:tcPr>
            <w:tcW w:w="5880" w:type="dxa"/>
            <w:gridSpan w:val="11"/>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8AAA8D4">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总    分</w:t>
            </w:r>
          </w:p>
        </w:tc>
        <w:tc>
          <w:tcPr>
            <w:tcW w:w="60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0F6174F2">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100</w:t>
            </w:r>
          </w:p>
        </w:tc>
        <w:tc>
          <w:tcPr>
            <w:tcW w:w="581"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14:paraId="2DF6111D">
            <w:pPr>
              <w:keepNext w:val="0"/>
              <w:keepLines w:val="0"/>
              <w:widowControl/>
              <w:suppressLineNumbers w:val="0"/>
              <w:spacing w:before="0" w:beforeAutospacing="1" w:after="0" w:afterAutospacing="1"/>
              <w:ind w:left="0" w:right="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85.5</w:t>
            </w:r>
          </w:p>
        </w:tc>
        <w:tc>
          <w:tcPr>
            <w:tcW w:w="3041" w:type="dxa"/>
            <w:gridSpan w:val="7"/>
            <w:tcBorders>
              <w:top w:val="nil"/>
              <w:left w:val="nil"/>
              <w:bottom w:val="single" w:color="auto" w:sz="8" w:space="0"/>
              <w:right w:val="single" w:color="auto" w:sz="8" w:space="0"/>
            </w:tcBorders>
            <w:shd w:val="clear" w:color="auto" w:fill="auto"/>
            <w:tcMar>
              <w:left w:w="108" w:type="dxa"/>
              <w:right w:w="108" w:type="dxa"/>
            </w:tcMar>
            <w:vAlign w:val="center"/>
          </w:tcPr>
          <w:p w14:paraId="6A8CFF4B">
            <w:pPr>
              <w:keepNext w:val="0"/>
              <w:keepLines w:val="0"/>
              <w:widowControl/>
              <w:suppressLineNumbers w:val="0"/>
              <w:spacing w:before="0" w:beforeAutospacing="1" w:after="0" w:afterAutospacing="1"/>
              <w:ind w:left="0" w:right="0"/>
              <w:jc w:val="center"/>
              <w:rPr>
                <w:rFonts w:hint="eastAsia" w:ascii="仿宋" w:hAnsi="仿宋" w:eastAsia="仿宋" w:cs="仿宋"/>
                <w:kern w:val="0"/>
                <w:sz w:val="18"/>
                <w:szCs w:val="18"/>
              </w:rPr>
            </w:pPr>
            <w:r>
              <w:rPr>
                <w:rFonts w:hint="eastAsia" w:ascii="仿宋" w:hAnsi="仿宋" w:eastAsia="仿宋" w:cs="仿宋"/>
                <w:kern w:val="0"/>
                <w:sz w:val="18"/>
                <w:szCs w:val="18"/>
              </w:rPr>
              <w:t>　</w:t>
            </w:r>
          </w:p>
        </w:tc>
      </w:tr>
    </w:tbl>
    <w:p w14:paraId="2C12278C">
      <w:pPr>
        <w:pStyle w:val="28"/>
        <w:widowControl/>
        <w:spacing w:before="240" w:after="240"/>
        <w:ind w:firstLine="643" w:firstLineChars="200"/>
        <w:jc w:val="left"/>
        <w:rPr>
          <w:rFonts w:ascii="楷体" w:hAnsi="楷体" w:eastAsia="楷体" w:cs="楷体"/>
          <w:b/>
          <w:bCs/>
          <w:kern w:val="0"/>
          <w:sz w:val="32"/>
          <w:szCs w:val="32"/>
        </w:rPr>
      </w:pPr>
    </w:p>
    <w:p w14:paraId="37865BDC">
      <w:pPr>
        <w:pStyle w:val="28"/>
        <w:widowControl/>
        <w:spacing w:before="240" w:after="240"/>
        <w:ind w:firstLine="643" w:firstLineChars="200"/>
        <w:jc w:val="left"/>
        <w:rPr>
          <w:rFonts w:ascii="Times New Roman" w:hAnsi="Times New Roman" w:eastAsia="Times New Roman" w:cs="Times New Roman"/>
          <w:kern w:val="0"/>
          <w:sz w:val="24"/>
        </w:rPr>
      </w:pPr>
      <w:r>
        <w:rPr>
          <w:rFonts w:ascii="楷体" w:hAnsi="楷体" w:eastAsia="楷体" w:cs="楷体"/>
          <w:b/>
          <w:bCs/>
          <w:kern w:val="0"/>
          <w:sz w:val="32"/>
          <w:szCs w:val="32"/>
        </w:rPr>
        <w:t>（三）部门项目绩效评价结果。</w:t>
      </w:r>
    </w:p>
    <w:p w14:paraId="072BBC9D">
      <w:pPr>
        <w:pStyle w:val="28"/>
        <w:widowControl/>
        <w:spacing w:before="240" w:after="240" w:line="560" w:lineRule="atLeast"/>
        <w:ind w:firstLine="640"/>
        <w:jc w:val="left"/>
        <w:rPr>
          <w:rFonts w:hint="eastAsia" w:ascii="仿宋" w:hAnsi="仿宋" w:eastAsia="仿宋" w:cs="仿宋"/>
          <w:kern w:val="0"/>
          <w:sz w:val="28"/>
          <w:szCs w:val="28"/>
        </w:rPr>
      </w:pPr>
      <w:r>
        <w:rPr>
          <w:rFonts w:hint="eastAsia" w:ascii="仿宋" w:hAnsi="仿宋" w:eastAsia="仿宋" w:cs="仿宋"/>
          <w:kern w:val="0"/>
          <w:sz w:val="28"/>
          <w:szCs w:val="28"/>
        </w:rPr>
        <w:t>以</w:t>
      </w:r>
      <w:r>
        <w:rPr>
          <w:rFonts w:hint="eastAsia" w:ascii="仿宋" w:hAnsi="仿宋" w:eastAsia="仿宋" w:cs="仿宋"/>
          <w:color w:val="000000"/>
          <w:kern w:val="0"/>
          <w:sz w:val="28"/>
          <w:szCs w:val="28"/>
        </w:rPr>
        <w:t>外泌体载脂蛋白A1在耐药性结核病形成中的作用及其诊断价值项目</w:t>
      </w:r>
      <w:r>
        <w:rPr>
          <w:rFonts w:hint="eastAsia" w:ascii="仿宋" w:hAnsi="仿宋" w:eastAsia="仿宋" w:cs="仿宋"/>
          <w:kern w:val="0"/>
          <w:sz w:val="28"/>
          <w:szCs w:val="28"/>
        </w:rPr>
        <w:t>为例，该项目绩效评价综合得分为</w:t>
      </w:r>
      <w:r>
        <w:rPr>
          <w:rFonts w:hint="eastAsia" w:ascii="仿宋" w:hAnsi="仿宋" w:eastAsia="仿宋" w:cs="仿宋"/>
          <w:kern w:val="0"/>
          <w:sz w:val="28"/>
          <w:szCs w:val="28"/>
          <w:lang w:val="en-US" w:eastAsia="zh-CN"/>
        </w:rPr>
        <w:t>95</w:t>
      </w:r>
      <w:r>
        <w:rPr>
          <w:rFonts w:hint="eastAsia" w:ascii="仿宋" w:hAnsi="仿宋" w:eastAsia="仿宋" w:cs="仿宋"/>
          <w:kern w:val="0"/>
          <w:sz w:val="28"/>
          <w:szCs w:val="28"/>
        </w:rPr>
        <w:t>分，绩效评价结果为“优”。项目绩效评价得分情况详见单位具体绩效评价结果。</w:t>
      </w:r>
    </w:p>
    <w:p w14:paraId="06803A74">
      <w:pPr>
        <w:pStyle w:val="28"/>
        <w:widowControl/>
        <w:spacing w:before="240" w:after="240" w:line="560" w:lineRule="atLeast"/>
        <w:ind w:firstLine="640"/>
        <w:jc w:val="left"/>
        <w:rPr>
          <w:rFonts w:hint="eastAsia" w:ascii="仿宋" w:hAnsi="仿宋" w:eastAsia="仿宋" w:cs="仿宋"/>
          <w:kern w:val="0"/>
          <w:sz w:val="28"/>
          <w:szCs w:val="28"/>
        </w:rPr>
      </w:pPr>
    </w:p>
    <w:p w14:paraId="7FA0F559">
      <w:pPr>
        <w:widowControl/>
        <w:spacing w:before="240" w:after="240"/>
        <w:ind w:firstLine="420"/>
        <w:jc w:val="center"/>
        <w:rPr>
          <w:rFonts w:hint="eastAsia" w:ascii="仿宋_GB2312" w:hAnsi="仿宋_GB2312" w:eastAsia="仿宋_GB2312" w:cs="仿宋_GB2312"/>
          <w:b/>
          <w:bCs/>
          <w:kern w:val="0"/>
          <w:sz w:val="28"/>
          <w:szCs w:val="28"/>
          <w:lang w:val="en-US" w:eastAsia="zh-CN"/>
        </w:rPr>
      </w:pPr>
      <w:r>
        <w:rPr>
          <w:rFonts w:hint="eastAsia" w:ascii="仿宋_GB2312" w:hAnsi="仿宋_GB2312" w:eastAsia="仿宋_GB2312" w:cs="仿宋_GB2312"/>
          <w:b/>
          <w:bCs/>
          <w:kern w:val="0"/>
          <w:sz w:val="28"/>
          <w:szCs w:val="28"/>
          <w:lang w:val="en-US" w:eastAsia="zh-CN"/>
        </w:rPr>
        <w:t>呼伦贝尔市第二人民医院（呼伦贝尔市传染病医院）</w:t>
      </w:r>
    </w:p>
    <w:p w14:paraId="617C111C">
      <w:pPr>
        <w:widowControl/>
        <w:spacing w:before="240" w:after="240"/>
        <w:ind w:firstLine="420"/>
        <w:jc w:val="center"/>
        <w:rPr>
          <w:rFonts w:hint="eastAsia" w:ascii="仿宋_GB2312" w:hAnsi="仿宋_GB2312" w:eastAsia="仿宋_GB2312" w:cs="仿宋_GB2312"/>
          <w:b/>
          <w:bCs/>
          <w:kern w:val="0"/>
          <w:sz w:val="28"/>
          <w:szCs w:val="28"/>
          <w:lang w:val="en-US" w:eastAsia="zh-CN"/>
        </w:rPr>
      </w:pPr>
      <w:r>
        <w:rPr>
          <w:rFonts w:hint="eastAsia" w:ascii="仿宋" w:hAnsi="仿宋" w:eastAsia="仿宋" w:cs="仿宋"/>
          <w:b/>
          <w:bCs/>
          <w:color w:val="000000"/>
          <w:kern w:val="0"/>
          <w:sz w:val="28"/>
          <w:szCs w:val="28"/>
        </w:rPr>
        <w:t>外泌体载脂蛋白A1在耐药性结核病形成中的作用及其诊断价值</w:t>
      </w:r>
      <w:r>
        <w:rPr>
          <w:rFonts w:ascii="仿宋_GB2312" w:hAnsi="仿宋_GB2312" w:eastAsia="仿宋_GB2312" w:cs="仿宋_GB2312"/>
          <w:b/>
          <w:bCs/>
          <w:kern w:val="0"/>
          <w:sz w:val="28"/>
          <w:szCs w:val="28"/>
        </w:rPr>
        <w:t>项目</w:t>
      </w:r>
      <w:r>
        <w:rPr>
          <w:rFonts w:hint="eastAsia" w:ascii="仿宋_GB2312" w:hAnsi="仿宋_GB2312" w:eastAsia="仿宋_GB2312" w:cs="仿宋_GB2312"/>
          <w:b/>
          <w:bCs/>
          <w:kern w:val="0"/>
          <w:sz w:val="28"/>
          <w:szCs w:val="28"/>
          <w:lang w:val="en-US" w:eastAsia="zh-CN"/>
        </w:rPr>
        <w:t>绩效报告</w:t>
      </w:r>
    </w:p>
    <w:p w14:paraId="30CEB166">
      <w:pPr>
        <w:keepNext w:val="0"/>
        <w:keepLines w:val="0"/>
        <w:pageBreakBefore w:val="0"/>
        <w:widowControl/>
        <w:numPr>
          <w:ilvl w:val="0"/>
          <w:numId w:val="1"/>
        </w:numPr>
        <w:kinsoku/>
        <w:wordWrap/>
        <w:overflowPunct/>
        <w:autoSpaceDE/>
        <w:autoSpaceDN/>
        <w:bidi w:val="0"/>
        <w:adjustRightInd/>
        <w:snapToGrid/>
        <w:spacing w:before="240" w:after="240"/>
        <w:ind w:firstLine="420"/>
        <w:jc w:val="both"/>
        <w:textAlignment w:val="auto"/>
        <w:rPr>
          <w:rFonts w:hint="eastAsia" w:ascii="仿宋_GB2312" w:hAnsi="仿宋_GB2312" w:eastAsia="仿宋_GB2312" w:cs="仿宋_GB2312"/>
          <w:b w:val="0"/>
          <w:bCs w:val="0"/>
          <w:kern w:val="0"/>
          <w:sz w:val="27"/>
          <w:szCs w:val="27"/>
          <w:lang w:val="en-US" w:eastAsia="zh-CN"/>
        </w:rPr>
      </w:pPr>
      <w:r>
        <w:rPr>
          <w:rFonts w:hint="eastAsia" w:ascii="仿宋_GB2312" w:hAnsi="仿宋_GB2312" w:eastAsia="仿宋_GB2312" w:cs="仿宋_GB2312"/>
          <w:b w:val="0"/>
          <w:bCs w:val="0"/>
          <w:kern w:val="0"/>
          <w:sz w:val="27"/>
          <w:szCs w:val="27"/>
          <w:lang w:val="en-US" w:eastAsia="zh-CN"/>
        </w:rPr>
        <w:t>项目基本情况</w:t>
      </w:r>
    </w:p>
    <w:p w14:paraId="481B6A7C">
      <w:pPr>
        <w:keepNext w:val="0"/>
        <w:keepLines w:val="0"/>
        <w:pageBreakBefore w:val="0"/>
        <w:widowControl w:val="0"/>
        <w:numPr>
          <w:ilvl w:val="0"/>
          <w:numId w:val="0"/>
        </w:numPr>
        <w:kinsoku/>
        <w:wordWrap/>
        <w:overflowPunct/>
        <w:topLinePunct/>
        <w:autoSpaceDE/>
        <w:autoSpaceDN/>
        <w:bidi w:val="0"/>
        <w:adjustRightInd/>
        <w:snapToGrid/>
        <w:spacing w:line="240" w:lineRule="auto"/>
        <w:ind w:right="0" w:rightChars="0" w:firstLine="540" w:firstLineChars="200"/>
        <w:jc w:val="both"/>
        <w:textAlignment w:val="auto"/>
        <w:outlineLvl w:val="1"/>
        <w:rPr>
          <w:rFonts w:hint="eastAsia" w:ascii="Times New Roman Regular" w:hAnsi="Times New Roman Regular" w:eastAsia="仿宋" w:cs="Times New Roman Regular"/>
          <w:kern w:val="2"/>
          <w:sz w:val="27"/>
          <w:szCs w:val="27"/>
          <w:lang w:val="en-US" w:eastAsia="zh-CN"/>
        </w:rPr>
      </w:pPr>
      <w:r>
        <w:rPr>
          <w:rFonts w:hint="eastAsia" w:ascii="Times New Roman Regular" w:hAnsi="Times New Roman Regular" w:eastAsia="仿宋" w:cs="Times New Roman Regular"/>
          <w:kern w:val="2"/>
          <w:sz w:val="27"/>
          <w:szCs w:val="27"/>
          <w:lang w:val="en-US" w:eastAsia="zh-CN"/>
        </w:rPr>
        <w:t>（一）项目基本情况简介</w:t>
      </w:r>
    </w:p>
    <w:p w14:paraId="532164A0">
      <w:pPr>
        <w:keepNext w:val="0"/>
        <w:keepLines w:val="0"/>
        <w:pageBreakBefore w:val="0"/>
        <w:widowControl w:val="0"/>
        <w:numPr>
          <w:ilvl w:val="0"/>
          <w:numId w:val="0"/>
        </w:numPr>
        <w:kinsoku/>
        <w:wordWrap/>
        <w:overflowPunct/>
        <w:topLinePunct/>
        <w:autoSpaceDE/>
        <w:autoSpaceDN/>
        <w:bidi w:val="0"/>
        <w:adjustRightInd/>
        <w:snapToGrid/>
        <w:spacing w:line="240" w:lineRule="auto"/>
        <w:ind w:right="0" w:rightChars="0" w:firstLine="540" w:firstLineChars="200"/>
        <w:jc w:val="both"/>
        <w:textAlignment w:val="auto"/>
        <w:outlineLvl w:val="1"/>
        <w:rPr>
          <w:rFonts w:hint="eastAsia" w:ascii="仿宋" w:hAnsi="仿宋" w:eastAsia="仿宋" w:cs="仿宋"/>
          <w:kern w:val="2"/>
          <w:sz w:val="27"/>
          <w:szCs w:val="27"/>
        </w:rPr>
      </w:pPr>
      <w:r>
        <w:rPr>
          <w:rFonts w:hint="eastAsia" w:ascii="仿宋" w:hAnsi="仿宋" w:eastAsia="仿宋" w:cs="仿宋"/>
          <w:kern w:val="2"/>
          <w:sz w:val="27"/>
          <w:szCs w:val="27"/>
        </w:rPr>
        <w:t>DR-TB患者血浆外泌体中载脂蛋白A1（APOA1）蛋白明显降低，本研究将以此为基础，通过病例对照研究设计，利用临床病例明确APOA1蛋白碎屏与DR-TB感染状态的关联程度，分析其在DR-TB形成中的作用及其诊断价值。同时探讨APOA1蛋白水平对固有免疫细胞抗菌能力的影响及相关分子机制，以</w:t>
      </w:r>
      <w:r>
        <w:rPr>
          <w:rFonts w:hint="eastAsia" w:ascii="仿宋" w:hAnsi="仿宋" w:eastAsia="仿宋" w:cs="仿宋"/>
          <w:kern w:val="2"/>
          <w:sz w:val="27"/>
          <w:szCs w:val="27"/>
          <w:lang w:val="en-US" w:eastAsia="zh-CN"/>
        </w:rPr>
        <w:t>此</w:t>
      </w:r>
      <w:r>
        <w:rPr>
          <w:rFonts w:hint="eastAsia" w:ascii="仿宋" w:hAnsi="仿宋" w:eastAsia="仿宋" w:cs="仿宋"/>
          <w:kern w:val="2"/>
          <w:sz w:val="27"/>
          <w:szCs w:val="27"/>
        </w:rPr>
        <w:t>为推动DR-TB的精准防治提供有力支撑。</w:t>
      </w:r>
    </w:p>
    <w:p w14:paraId="4FEC2035">
      <w:pPr>
        <w:keepNext w:val="0"/>
        <w:keepLines w:val="0"/>
        <w:pageBreakBefore w:val="0"/>
        <w:widowControl w:val="0"/>
        <w:numPr>
          <w:ilvl w:val="0"/>
          <w:numId w:val="0"/>
        </w:numPr>
        <w:kinsoku/>
        <w:wordWrap/>
        <w:overflowPunct/>
        <w:topLinePunct/>
        <w:autoSpaceDE/>
        <w:autoSpaceDN/>
        <w:bidi w:val="0"/>
        <w:adjustRightInd/>
        <w:snapToGrid/>
        <w:spacing w:line="240" w:lineRule="auto"/>
        <w:ind w:right="0" w:rightChars="0" w:firstLine="540" w:firstLineChars="200"/>
        <w:jc w:val="both"/>
        <w:textAlignment w:val="auto"/>
        <w:outlineLvl w:val="1"/>
        <w:rPr>
          <w:rFonts w:hint="eastAsia" w:ascii="仿宋" w:hAnsi="仿宋" w:eastAsia="仿宋" w:cs="仿宋"/>
          <w:kern w:val="2"/>
          <w:sz w:val="27"/>
          <w:szCs w:val="27"/>
        </w:rPr>
      </w:pPr>
      <w:r>
        <w:rPr>
          <w:rFonts w:hint="eastAsia" w:ascii="仿宋" w:hAnsi="仿宋" w:eastAsia="仿宋" w:cs="仿宋"/>
          <w:kern w:val="2"/>
          <w:sz w:val="27"/>
          <w:szCs w:val="27"/>
          <w:lang w:eastAsia="zh-CN"/>
        </w:rPr>
        <w:t>（</w:t>
      </w:r>
      <w:r>
        <w:rPr>
          <w:rFonts w:hint="eastAsia" w:ascii="仿宋" w:hAnsi="仿宋" w:eastAsia="仿宋" w:cs="仿宋"/>
          <w:kern w:val="2"/>
          <w:sz w:val="27"/>
          <w:szCs w:val="27"/>
          <w:lang w:val="en-US" w:eastAsia="zh-CN"/>
        </w:rPr>
        <w:t>二</w:t>
      </w:r>
      <w:r>
        <w:rPr>
          <w:rFonts w:hint="eastAsia" w:ascii="仿宋" w:hAnsi="仿宋" w:eastAsia="仿宋" w:cs="仿宋"/>
          <w:kern w:val="2"/>
          <w:sz w:val="27"/>
          <w:szCs w:val="27"/>
          <w:lang w:eastAsia="zh-CN"/>
        </w:rPr>
        <w:t>）</w:t>
      </w:r>
      <w:r>
        <w:rPr>
          <w:rFonts w:hint="eastAsia" w:ascii="仿宋" w:hAnsi="仿宋" w:eastAsia="仿宋" w:cs="仿宋"/>
          <w:kern w:val="2"/>
          <w:sz w:val="27"/>
          <w:szCs w:val="27"/>
        </w:rPr>
        <w:t>绩效目标设定及</w:t>
      </w:r>
      <w:r>
        <w:rPr>
          <w:rFonts w:hint="eastAsia" w:ascii="仿宋" w:hAnsi="仿宋" w:eastAsia="仿宋" w:cs="仿宋"/>
          <w:kern w:val="2"/>
          <w:sz w:val="27"/>
          <w:szCs w:val="27"/>
          <w:lang w:val="en-US" w:eastAsia="zh-CN"/>
        </w:rPr>
        <w:t>指标</w:t>
      </w:r>
      <w:r>
        <w:rPr>
          <w:rFonts w:hint="eastAsia" w:ascii="仿宋" w:hAnsi="仿宋" w:eastAsia="仿宋" w:cs="仿宋"/>
          <w:kern w:val="2"/>
          <w:sz w:val="27"/>
          <w:szCs w:val="27"/>
        </w:rPr>
        <w:t>完成情况</w:t>
      </w:r>
    </w:p>
    <w:p w14:paraId="48510ADB">
      <w:pPr>
        <w:keepNext w:val="0"/>
        <w:keepLines w:val="0"/>
        <w:pageBreakBefore w:val="0"/>
        <w:widowControl w:val="0"/>
        <w:kinsoku/>
        <w:wordWrap/>
        <w:overflowPunct/>
        <w:topLinePunct/>
        <w:autoSpaceDE/>
        <w:autoSpaceDN/>
        <w:bidi w:val="0"/>
        <w:adjustRightInd/>
        <w:snapToGrid/>
        <w:spacing w:line="240" w:lineRule="auto"/>
        <w:ind w:right="0" w:rightChars="0" w:firstLine="540" w:firstLineChars="200"/>
        <w:jc w:val="both"/>
        <w:textAlignment w:val="auto"/>
        <w:outlineLvl w:val="9"/>
        <w:rPr>
          <w:rFonts w:hint="eastAsia" w:ascii="仿宋" w:hAnsi="仿宋" w:eastAsia="仿宋" w:cs="仿宋"/>
          <w:kern w:val="2"/>
          <w:sz w:val="27"/>
          <w:szCs w:val="27"/>
          <w:lang w:val="en-US" w:eastAsia="zh-CN"/>
        </w:rPr>
      </w:pPr>
      <w:r>
        <w:rPr>
          <w:rFonts w:hint="eastAsia" w:ascii="仿宋" w:hAnsi="仿宋" w:eastAsia="仿宋" w:cs="仿宋"/>
          <w:kern w:val="2"/>
          <w:sz w:val="27"/>
          <w:szCs w:val="27"/>
          <w:lang w:val="en-US" w:eastAsia="zh-CN"/>
        </w:rPr>
        <w:t>年度绩效目标：通过病例对照研究设计，利用临床病例明确APOA1蛋白碎屏与DR-TB感染状态的关联程度，分析其在DR-TB形成中的作用及其诊断价值。同时探讨APOA1蛋白水平对固有免疫细胞抗菌能力的影响及相关分子机制，以此为推动DR-TB的精准防治提供有力支撑。</w:t>
      </w:r>
    </w:p>
    <w:p w14:paraId="713E9E28">
      <w:pPr>
        <w:keepNext w:val="0"/>
        <w:keepLines w:val="0"/>
        <w:pageBreakBefore w:val="0"/>
        <w:widowControl w:val="0"/>
        <w:kinsoku/>
        <w:wordWrap/>
        <w:overflowPunct/>
        <w:topLinePunct/>
        <w:autoSpaceDE/>
        <w:autoSpaceDN/>
        <w:bidi w:val="0"/>
        <w:adjustRightInd/>
        <w:snapToGrid/>
        <w:spacing w:line="240" w:lineRule="auto"/>
        <w:ind w:right="0" w:rightChars="0" w:firstLine="540" w:firstLineChars="200"/>
        <w:jc w:val="both"/>
        <w:textAlignment w:val="auto"/>
        <w:outlineLvl w:val="9"/>
        <w:rPr>
          <w:rFonts w:hint="default" w:ascii="仿宋" w:hAnsi="仿宋" w:eastAsia="仿宋" w:cs="仿宋"/>
          <w:kern w:val="2"/>
          <w:sz w:val="27"/>
          <w:szCs w:val="27"/>
          <w:lang w:val="en-US" w:eastAsia="zh-CN"/>
        </w:rPr>
      </w:pPr>
      <w:r>
        <w:rPr>
          <w:rFonts w:hint="eastAsia" w:ascii="仿宋" w:hAnsi="仿宋" w:eastAsia="仿宋" w:cs="仿宋"/>
          <w:kern w:val="2"/>
          <w:sz w:val="27"/>
          <w:szCs w:val="27"/>
          <w:lang w:val="en-US" w:eastAsia="zh-CN"/>
        </w:rPr>
        <w:t>年度绩效目标完成情况：项目专项资金已拨付到位。使用科研经费明细如下：支付论文发表版面费0.45万元、科研项目材料费0.46万元、样本冷链运输费0.03万元、项目人员差旅费0.30万元、评审专家劳务费0.15万元，共计1.39万元。本年科研项目实施完毕。</w:t>
      </w:r>
    </w:p>
    <w:p w14:paraId="392E7F3D">
      <w:pPr>
        <w:keepNext w:val="0"/>
        <w:keepLines w:val="0"/>
        <w:pageBreakBefore w:val="0"/>
        <w:widowControl w:val="0"/>
        <w:numPr>
          <w:ilvl w:val="0"/>
          <w:numId w:val="0"/>
        </w:numPr>
        <w:kinsoku/>
        <w:wordWrap/>
        <w:overflowPunct/>
        <w:topLinePunct/>
        <w:autoSpaceDE/>
        <w:autoSpaceDN/>
        <w:bidi w:val="0"/>
        <w:adjustRightInd/>
        <w:snapToGrid/>
        <w:spacing w:line="240" w:lineRule="auto"/>
        <w:ind w:right="0" w:rightChars="0" w:firstLine="270" w:firstLineChars="100"/>
        <w:jc w:val="both"/>
        <w:textAlignment w:val="auto"/>
        <w:outlineLvl w:val="9"/>
        <w:rPr>
          <w:rFonts w:hint="eastAsia" w:ascii="仿宋" w:hAnsi="仿宋" w:eastAsia="仿宋" w:cs="仿宋"/>
          <w:kern w:val="2"/>
          <w:sz w:val="27"/>
          <w:szCs w:val="27"/>
          <w:lang w:val="en-US" w:eastAsia="zh-CN"/>
        </w:rPr>
      </w:pPr>
      <w:r>
        <w:rPr>
          <w:rFonts w:hint="eastAsia" w:ascii="仿宋" w:hAnsi="仿宋" w:eastAsia="仿宋" w:cs="仿宋"/>
          <w:kern w:val="2"/>
          <w:sz w:val="27"/>
          <w:szCs w:val="27"/>
          <w:lang w:val="en-US" w:eastAsia="zh-CN"/>
        </w:rPr>
        <w:t>二、绩效自评工作情况</w:t>
      </w:r>
    </w:p>
    <w:p w14:paraId="0300CE27">
      <w:pPr>
        <w:keepNext w:val="0"/>
        <w:keepLines w:val="0"/>
        <w:pageBreakBefore w:val="0"/>
        <w:widowControl w:val="0"/>
        <w:numPr>
          <w:ilvl w:val="0"/>
          <w:numId w:val="0"/>
        </w:numPr>
        <w:kinsoku/>
        <w:wordWrap/>
        <w:overflowPunct/>
        <w:topLinePunct/>
        <w:autoSpaceDE/>
        <w:autoSpaceDN/>
        <w:bidi w:val="0"/>
        <w:adjustRightInd/>
        <w:snapToGrid/>
        <w:spacing w:line="240" w:lineRule="auto"/>
        <w:ind w:right="0" w:rightChars="0" w:firstLine="540" w:firstLineChars="200"/>
        <w:jc w:val="both"/>
        <w:textAlignment w:val="auto"/>
        <w:outlineLvl w:val="9"/>
        <w:rPr>
          <w:rFonts w:hint="eastAsia" w:ascii="仿宋" w:hAnsi="仿宋" w:eastAsia="仿宋" w:cs="仿宋"/>
          <w:kern w:val="2"/>
          <w:sz w:val="27"/>
          <w:szCs w:val="27"/>
          <w:lang w:val="en-US" w:eastAsia="zh-CN"/>
        </w:rPr>
      </w:pPr>
      <w:r>
        <w:rPr>
          <w:rFonts w:hint="eastAsia" w:ascii="仿宋" w:hAnsi="仿宋" w:eastAsia="仿宋" w:cs="仿宋"/>
          <w:kern w:val="2"/>
          <w:sz w:val="27"/>
          <w:szCs w:val="27"/>
          <w:lang w:val="en-US" w:eastAsia="zh-CN"/>
        </w:rPr>
        <w:t>（一）绩效自评目的</w:t>
      </w:r>
    </w:p>
    <w:p w14:paraId="0F5F9E9F">
      <w:pPr>
        <w:keepNext w:val="0"/>
        <w:keepLines w:val="0"/>
        <w:pageBreakBefore w:val="0"/>
        <w:widowControl w:val="0"/>
        <w:numPr>
          <w:ilvl w:val="0"/>
          <w:numId w:val="0"/>
        </w:numPr>
        <w:kinsoku/>
        <w:wordWrap/>
        <w:overflowPunct/>
        <w:topLinePunct/>
        <w:autoSpaceDE/>
        <w:autoSpaceDN/>
        <w:bidi w:val="0"/>
        <w:adjustRightInd/>
        <w:snapToGrid/>
        <w:spacing w:line="240" w:lineRule="auto"/>
        <w:ind w:right="0" w:rightChars="0" w:firstLine="540" w:firstLineChars="200"/>
        <w:jc w:val="both"/>
        <w:textAlignment w:val="auto"/>
        <w:outlineLvl w:val="9"/>
        <w:rPr>
          <w:rFonts w:hint="eastAsia" w:ascii="仿宋" w:hAnsi="仿宋" w:eastAsia="仿宋" w:cs="仿宋"/>
          <w:kern w:val="2"/>
          <w:sz w:val="27"/>
          <w:szCs w:val="27"/>
        </w:rPr>
      </w:pPr>
      <w:r>
        <w:rPr>
          <w:rFonts w:hint="eastAsia" w:ascii="仿宋" w:hAnsi="仿宋" w:eastAsia="仿宋" w:cs="仿宋"/>
          <w:kern w:val="2"/>
          <w:sz w:val="27"/>
          <w:szCs w:val="27"/>
        </w:rPr>
        <w:t>将在既往收集的信息和标本基础上，通过检测耐药人群、非耐药人群和健康人群中血浆标本中外泌体APOA1蛋白的表达水平，探讨外泌体APOA1作为耐药性结核发病风险分子标志物的潜在临床价值，同时结合细胞模型，利用基因编辑等技术，探讨APOA1蛋白与耐药性结核病状态的关联程度以及在巨噬细胞抗结核免疫中的作用，以</w:t>
      </w:r>
      <w:r>
        <w:rPr>
          <w:rFonts w:hint="eastAsia" w:ascii="仿宋" w:hAnsi="仿宋" w:eastAsia="仿宋" w:cs="仿宋"/>
          <w:kern w:val="2"/>
          <w:sz w:val="27"/>
          <w:szCs w:val="27"/>
          <w:lang w:val="en-US" w:eastAsia="zh-CN"/>
        </w:rPr>
        <w:t>此</w:t>
      </w:r>
      <w:r>
        <w:rPr>
          <w:rFonts w:hint="eastAsia" w:ascii="仿宋" w:hAnsi="仿宋" w:eastAsia="仿宋" w:cs="仿宋"/>
          <w:kern w:val="2"/>
          <w:sz w:val="27"/>
          <w:szCs w:val="27"/>
        </w:rPr>
        <w:t>为推动耐药性结核病的精准防治提供有力的技术支撑。</w:t>
      </w:r>
    </w:p>
    <w:p w14:paraId="3AC1760B">
      <w:pPr>
        <w:keepNext w:val="0"/>
        <w:keepLines w:val="0"/>
        <w:pageBreakBefore w:val="0"/>
        <w:widowControl w:val="0"/>
        <w:numPr>
          <w:ilvl w:val="0"/>
          <w:numId w:val="2"/>
        </w:numPr>
        <w:kinsoku/>
        <w:wordWrap/>
        <w:overflowPunct/>
        <w:topLinePunct/>
        <w:autoSpaceDE/>
        <w:autoSpaceDN/>
        <w:bidi w:val="0"/>
        <w:adjustRightInd/>
        <w:snapToGrid/>
        <w:spacing w:line="240" w:lineRule="auto"/>
        <w:ind w:left="481" w:leftChars="0" w:right="0" w:rightChars="0" w:firstLine="0" w:firstLineChars="0"/>
        <w:jc w:val="both"/>
        <w:textAlignment w:val="auto"/>
        <w:outlineLvl w:val="9"/>
        <w:rPr>
          <w:rFonts w:hint="eastAsia" w:ascii="仿宋" w:hAnsi="仿宋" w:eastAsia="仿宋" w:cs="仿宋"/>
          <w:kern w:val="2"/>
          <w:sz w:val="27"/>
          <w:szCs w:val="27"/>
          <w:lang w:val="en-US" w:eastAsia="zh-CN"/>
        </w:rPr>
      </w:pPr>
      <w:r>
        <w:rPr>
          <w:rFonts w:hint="eastAsia" w:ascii="仿宋" w:hAnsi="仿宋" w:eastAsia="仿宋" w:cs="仿宋"/>
          <w:kern w:val="2"/>
          <w:sz w:val="27"/>
          <w:szCs w:val="27"/>
          <w:lang w:val="en-US" w:eastAsia="zh-CN"/>
        </w:rPr>
        <w:t xml:space="preserve"> 项目资金投入情况</w:t>
      </w:r>
    </w:p>
    <w:p w14:paraId="251650D1">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540" w:firstLineChars="200"/>
        <w:jc w:val="both"/>
        <w:textAlignment w:val="auto"/>
        <w:outlineLvl w:val="9"/>
        <w:rPr>
          <w:rFonts w:hint="default" w:ascii="Times New Roman Regular" w:hAnsi="Times New Roman Regular" w:eastAsia="仿宋" w:cs="Times New Roman Regular"/>
          <w:kern w:val="2"/>
          <w:sz w:val="27"/>
          <w:szCs w:val="27"/>
          <w:lang w:val="en-US" w:eastAsia="zh-CN"/>
        </w:rPr>
      </w:pPr>
      <w:r>
        <w:rPr>
          <w:rFonts w:hint="default" w:ascii="Times New Roman Regular" w:hAnsi="Times New Roman Regular" w:eastAsia="仿宋" w:cs="Times New Roman Regular"/>
          <w:kern w:val="2"/>
          <w:sz w:val="27"/>
          <w:szCs w:val="27"/>
          <w:lang w:val="en-US" w:eastAsia="zh-CN"/>
        </w:rPr>
        <w:t>本</w:t>
      </w:r>
      <w:r>
        <w:rPr>
          <w:rFonts w:hint="eastAsia" w:ascii="Times New Roman Regular" w:hAnsi="Times New Roman Regular" w:eastAsia="仿宋" w:cs="Times New Roman Regular"/>
          <w:kern w:val="2"/>
          <w:sz w:val="27"/>
          <w:szCs w:val="27"/>
          <w:lang w:val="en-US" w:eastAsia="zh-CN"/>
        </w:rPr>
        <w:t>年度预算资金</w:t>
      </w:r>
      <w:r>
        <w:rPr>
          <w:rFonts w:hint="eastAsia" w:ascii="仿宋" w:hAnsi="仿宋" w:eastAsia="仿宋" w:cs="仿宋"/>
          <w:kern w:val="2"/>
          <w:sz w:val="27"/>
          <w:szCs w:val="27"/>
          <w:lang w:val="en-US" w:eastAsia="zh-CN"/>
        </w:rPr>
        <w:t>2.01</w:t>
      </w:r>
      <w:r>
        <w:rPr>
          <w:rFonts w:hint="default" w:ascii="Times New Roman Regular" w:hAnsi="Times New Roman Regular" w:eastAsia="仿宋" w:cs="Times New Roman Regular"/>
          <w:kern w:val="2"/>
          <w:sz w:val="27"/>
          <w:szCs w:val="27"/>
          <w:lang w:val="en-US" w:eastAsia="zh-CN"/>
        </w:rPr>
        <w:t>万元，其中：财政拨款</w:t>
      </w:r>
      <w:r>
        <w:rPr>
          <w:rFonts w:hint="eastAsia" w:ascii="仿宋" w:hAnsi="仿宋" w:eastAsia="仿宋" w:cs="仿宋"/>
          <w:kern w:val="2"/>
          <w:sz w:val="27"/>
          <w:szCs w:val="27"/>
          <w:lang w:val="en-US" w:eastAsia="zh-CN"/>
        </w:rPr>
        <w:t>2.01</w:t>
      </w:r>
      <w:r>
        <w:rPr>
          <w:rFonts w:hint="default" w:ascii="Times New Roman Regular" w:hAnsi="Times New Roman Regular" w:eastAsia="仿宋" w:cs="Times New Roman Regular"/>
          <w:kern w:val="2"/>
          <w:sz w:val="27"/>
          <w:szCs w:val="27"/>
          <w:lang w:val="en-US" w:eastAsia="zh-CN"/>
        </w:rPr>
        <w:t>万元，其他资金</w:t>
      </w:r>
      <w:r>
        <w:rPr>
          <w:rFonts w:hint="eastAsia" w:ascii="仿宋" w:hAnsi="仿宋" w:eastAsia="仿宋" w:cs="仿宋"/>
          <w:kern w:val="2"/>
          <w:sz w:val="27"/>
          <w:szCs w:val="27"/>
          <w:lang w:val="en-US" w:eastAsia="zh-CN"/>
        </w:rPr>
        <w:t>0</w:t>
      </w:r>
      <w:r>
        <w:rPr>
          <w:rFonts w:hint="default" w:ascii="Times New Roman Regular" w:hAnsi="Times New Roman Regular" w:eastAsia="仿宋" w:cs="Times New Roman Regular"/>
          <w:kern w:val="2"/>
          <w:sz w:val="27"/>
          <w:szCs w:val="27"/>
          <w:lang w:val="en-US" w:eastAsia="zh-CN"/>
        </w:rPr>
        <w:t>万元。</w:t>
      </w:r>
      <w:r>
        <w:rPr>
          <w:rFonts w:hint="eastAsia" w:ascii="Times New Roman Regular" w:hAnsi="Times New Roman Regular" w:eastAsia="仿宋" w:cs="Times New Roman Regular"/>
          <w:kern w:val="2"/>
          <w:sz w:val="27"/>
          <w:szCs w:val="27"/>
          <w:lang w:val="en-US" w:eastAsia="zh-CN"/>
        </w:rPr>
        <w:t>本年度使用</w:t>
      </w:r>
      <w:r>
        <w:rPr>
          <w:rFonts w:hint="eastAsia" w:ascii="仿宋" w:hAnsi="仿宋" w:eastAsia="仿宋" w:cs="仿宋"/>
          <w:kern w:val="2"/>
          <w:sz w:val="27"/>
          <w:szCs w:val="27"/>
          <w:lang w:val="en-US" w:eastAsia="zh-CN"/>
        </w:rPr>
        <w:t>1.39</w:t>
      </w:r>
      <w:r>
        <w:rPr>
          <w:rFonts w:hint="eastAsia" w:ascii="Times New Roman Regular" w:hAnsi="Times New Roman Regular" w:eastAsia="仿宋" w:cs="Times New Roman Regular"/>
          <w:kern w:val="2"/>
          <w:sz w:val="27"/>
          <w:szCs w:val="27"/>
          <w:lang w:val="en-US" w:eastAsia="zh-CN"/>
        </w:rPr>
        <w:t>万元。</w:t>
      </w:r>
    </w:p>
    <w:p w14:paraId="12BF42AF">
      <w:pPr>
        <w:keepNext w:val="0"/>
        <w:keepLines w:val="0"/>
        <w:pageBreakBefore w:val="0"/>
        <w:widowControl w:val="0"/>
        <w:numPr>
          <w:ilvl w:val="0"/>
          <w:numId w:val="2"/>
        </w:numPr>
        <w:kinsoku/>
        <w:wordWrap/>
        <w:overflowPunct/>
        <w:topLinePunct/>
        <w:autoSpaceDE/>
        <w:autoSpaceDN/>
        <w:bidi w:val="0"/>
        <w:adjustRightInd/>
        <w:snapToGrid/>
        <w:spacing w:line="240" w:lineRule="auto"/>
        <w:ind w:left="481" w:leftChars="0" w:right="0" w:rightChars="0" w:firstLine="0" w:firstLineChars="0"/>
        <w:jc w:val="both"/>
        <w:textAlignment w:val="auto"/>
        <w:outlineLvl w:val="9"/>
        <w:rPr>
          <w:rFonts w:hint="eastAsia" w:ascii="Times New Roman Regular" w:hAnsi="Times New Roman Regular" w:eastAsia="仿宋" w:cs="Times New Roman Regular"/>
          <w:kern w:val="2"/>
          <w:sz w:val="27"/>
          <w:szCs w:val="27"/>
          <w:lang w:val="en-US" w:eastAsia="zh-CN"/>
        </w:rPr>
      </w:pPr>
      <w:r>
        <w:rPr>
          <w:rFonts w:hint="eastAsia" w:ascii="Times New Roman Regular" w:hAnsi="Times New Roman Regular" w:eastAsia="仿宋" w:cs="Times New Roman Regular"/>
          <w:kern w:val="2"/>
          <w:sz w:val="27"/>
          <w:szCs w:val="27"/>
          <w:lang w:val="en-US" w:eastAsia="zh-CN"/>
        </w:rPr>
        <w:t xml:space="preserve"> 项目资金产出情况</w:t>
      </w:r>
    </w:p>
    <w:p w14:paraId="7FD26D46">
      <w:pPr>
        <w:keepNext w:val="0"/>
        <w:keepLines w:val="0"/>
        <w:pageBreakBefore w:val="0"/>
        <w:widowControl w:val="0"/>
        <w:numPr>
          <w:ilvl w:val="0"/>
          <w:numId w:val="3"/>
        </w:numPr>
        <w:kinsoku/>
        <w:wordWrap/>
        <w:overflowPunct/>
        <w:topLinePunct/>
        <w:autoSpaceDE/>
        <w:autoSpaceDN/>
        <w:bidi w:val="0"/>
        <w:adjustRightInd/>
        <w:snapToGrid/>
        <w:spacing w:line="240" w:lineRule="auto"/>
        <w:ind w:right="0" w:rightChars="0" w:firstLine="540" w:firstLineChars="200"/>
        <w:jc w:val="both"/>
        <w:textAlignment w:val="auto"/>
        <w:outlineLvl w:val="9"/>
        <w:rPr>
          <w:rFonts w:hint="default" w:ascii="仿宋" w:hAnsi="仿宋" w:eastAsia="仿宋" w:cs="仿宋"/>
          <w:kern w:val="2"/>
          <w:sz w:val="27"/>
          <w:szCs w:val="27"/>
          <w:lang w:val="en-US" w:eastAsia="zh-CN"/>
        </w:rPr>
      </w:pPr>
      <w:r>
        <w:rPr>
          <w:rFonts w:hint="eastAsia" w:ascii="仿宋" w:hAnsi="仿宋" w:eastAsia="仿宋" w:cs="仿宋"/>
          <w:kern w:val="2"/>
          <w:sz w:val="27"/>
          <w:szCs w:val="27"/>
        </w:rPr>
        <w:t>通过病例对照研究设计，利用临床病例明确APOA1蛋白水平与DR-TB感染状态的关联程度，分析其在DR-TB形成中的作用及其诊断价值。</w:t>
      </w:r>
      <w:r>
        <w:rPr>
          <w:rFonts w:hint="eastAsia" w:ascii="仿宋" w:hAnsi="仿宋" w:eastAsia="仿宋" w:cs="仿宋"/>
          <w:kern w:val="2"/>
          <w:sz w:val="27"/>
          <w:szCs w:val="27"/>
        </w:rPr>
        <w:cr/>
      </w:r>
      <w:r>
        <w:rPr>
          <w:rFonts w:hint="eastAsia" w:ascii="仿宋" w:hAnsi="仿宋" w:eastAsia="仿宋" w:cs="仿宋"/>
          <w:kern w:val="2"/>
          <w:sz w:val="27"/>
          <w:szCs w:val="27"/>
          <w:lang w:val="en-US" w:eastAsia="zh-CN"/>
        </w:rPr>
        <w:t xml:space="preserve">    </w:t>
      </w:r>
      <w:r>
        <w:rPr>
          <w:rFonts w:hint="eastAsia" w:ascii="仿宋" w:hAnsi="仿宋" w:eastAsia="仿宋" w:cs="仿宋"/>
          <w:kern w:val="2"/>
          <w:sz w:val="27"/>
          <w:szCs w:val="27"/>
        </w:rPr>
        <w:t>2.利用慢病毒转染技术和CRISPR-Cas9技术分别构建APOA1过表达的巨噬细胞细胞系和APOA1基因敲除细胞系，将经过筛选后的细胞系通过荧光显微镜、RT-qPCR以及Western blot的方法验证其APOA1表达效果。</w:t>
      </w:r>
      <w:r>
        <w:rPr>
          <w:rFonts w:hint="eastAsia" w:ascii="仿宋" w:hAnsi="仿宋" w:eastAsia="仿宋" w:cs="仿宋"/>
          <w:kern w:val="2"/>
          <w:sz w:val="27"/>
          <w:szCs w:val="27"/>
        </w:rPr>
        <w:cr/>
      </w:r>
      <w:r>
        <w:rPr>
          <w:rFonts w:hint="eastAsia" w:ascii="仿宋" w:hAnsi="仿宋" w:eastAsia="仿宋" w:cs="仿宋"/>
          <w:kern w:val="2"/>
          <w:sz w:val="27"/>
          <w:szCs w:val="27"/>
          <w:lang w:val="en-US" w:eastAsia="zh-CN"/>
        </w:rPr>
        <w:t xml:space="preserve">  </w:t>
      </w:r>
      <w:r>
        <w:rPr>
          <w:rFonts w:hint="eastAsia" w:ascii="仿宋" w:hAnsi="仿宋" w:eastAsia="仿宋" w:cs="仿宋"/>
          <w:kern w:val="2"/>
          <w:sz w:val="27"/>
          <w:szCs w:val="27"/>
          <w:lang w:eastAsia="zh-CN"/>
        </w:rPr>
        <w:t>（</w:t>
      </w:r>
      <w:r>
        <w:rPr>
          <w:rFonts w:hint="eastAsia" w:ascii="仿宋" w:hAnsi="仿宋" w:eastAsia="仿宋" w:cs="仿宋"/>
          <w:kern w:val="2"/>
          <w:sz w:val="27"/>
          <w:szCs w:val="27"/>
          <w:lang w:val="en-US" w:eastAsia="zh-CN"/>
        </w:rPr>
        <w:t>四</w:t>
      </w:r>
      <w:r>
        <w:rPr>
          <w:rFonts w:hint="eastAsia" w:ascii="仿宋" w:hAnsi="仿宋" w:eastAsia="仿宋" w:cs="仿宋"/>
          <w:kern w:val="2"/>
          <w:sz w:val="27"/>
          <w:szCs w:val="27"/>
          <w:lang w:eastAsia="zh-CN"/>
        </w:rPr>
        <w:t>）</w:t>
      </w:r>
      <w:r>
        <w:rPr>
          <w:rFonts w:hint="eastAsia" w:ascii="仿宋" w:hAnsi="仿宋" w:eastAsia="仿宋" w:cs="仿宋"/>
          <w:kern w:val="2"/>
          <w:sz w:val="27"/>
          <w:szCs w:val="27"/>
          <w:lang w:val="en-US" w:eastAsia="zh-CN"/>
        </w:rPr>
        <w:t>项目资金管理情况</w:t>
      </w:r>
    </w:p>
    <w:p w14:paraId="60D53CB0">
      <w:pPr>
        <w:keepNext w:val="0"/>
        <w:keepLines w:val="0"/>
        <w:pageBreakBefore w:val="0"/>
        <w:widowControl w:val="0"/>
        <w:kinsoku/>
        <w:wordWrap/>
        <w:overflowPunct/>
        <w:topLinePunct/>
        <w:autoSpaceDE/>
        <w:autoSpaceDN/>
        <w:bidi w:val="0"/>
        <w:adjustRightInd/>
        <w:snapToGrid/>
        <w:spacing w:line="240" w:lineRule="auto"/>
        <w:ind w:right="0" w:rightChars="0" w:firstLine="540" w:firstLineChars="200"/>
        <w:jc w:val="both"/>
        <w:textAlignment w:val="auto"/>
        <w:outlineLvl w:val="9"/>
        <w:rPr>
          <w:rFonts w:hint="eastAsia" w:ascii="仿宋" w:hAnsi="仿宋" w:eastAsia="仿宋" w:cs="仿宋"/>
          <w:kern w:val="2"/>
          <w:sz w:val="27"/>
          <w:szCs w:val="27"/>
        </w:rPr>
      </w:pPr>
      <w:r>
        <w:rPr>
          <w:rFonts w:hint="eastAsia" w:ascii="仿宋" w:hAnsi="仿宋" w:eastAsia="仿宋" w:cs="仿宋"/>
          <w:kern w:val="2"/>
          <w:sz w:val="27"/>
          <w:szCs w:val="27"/>
          <w:lang w:val="en-US" w:eastAsia="zh-CN"/>
        </w:rPr>
        <w:t>项目</w:t>
      </w:r>
      <w:r>
        <w:rPr>
          <w:rFonts w:hint="eastAsia" w:ascii="仿宋" w:hAnsi="仿宋" w:eastAsia="仿宋" w:cs="仿宋"/>
          <w:kern w:val="2"/>
          <w:sz w:val="27"/>
          <w:szCs w:val="27"/>
        </w:rPr>
        <w:t>资金严格执行专项资金管理制度</w:t>
      </w:r>
      <w:r>
        <w:rPr>
          <w:rFonts w:hint="eastAsia" w:ascii="仿宋" w:hAnsi="仿宋" w:eastAsia="仿宋" w:cs="仿宋"/>
          <w:kern w:val="2"/>
          <w:sz w:val="27"/>
          <w:szCs w:val="27"/>
          <w:lang w:val="en-US" w:eastAsia="zh-CN"/>
        </w:rPr>
        <w:t>规定</w:t>
      </w:r>
      <w:r>
        <w:rPr>
          <w:rFonts w:hint="eastAsia" w:ascii="仿宋" w:hAnsi="仿宋" w:eastAsia="仿宋" w:cs="仿宋"/>
          <w:kern w:val="2"/>
          <w:sz w:val="27"/>
          <w:szCs w:val="27"/>
        </w:rPr>
        <w:t>，确保项</w:t>
      </w:r>
      <w:r>
        <w:rPr>
          <w:rFonts w:hint="eastAsia" w:ascii="仿宋" w:hAnsi="仿宋" w:eastAsia="仿宋" w:cs="仿宋"/>
          <w:kern w:val="2"/>
          <w:sz w:val="27"/>
          <w:szCs w:val="27"/>
          <w:lang w:val="en-US" w:eastAsia="zh-CN"/>
        </w:rPr>
        <w:t>目</w:t>
      </w:r>
      <w:r>
        <w:rPr>
          <w:rFonts w:hint="eastAsia" w:ascii="仿宋" w:hAnsi="仿宋" w:eastAsia="仿宋" w:cs="仿宋"/>
          <w:kern w:val="2"/>
          <w:sz w:val="27"/>
          <w:szCs w:val="27"/>
        </w:rPr>
        <w:t>资金按规定用途使用，做到专款专用。</w:t>
      </w:r>
    </w:p>
    <w:p w14:paraId="72879B31">
      <w:pPr>
        <w:keepNext w:val="0"/>
        <w:keepLines w:val="0"/>
        <w:pageBreakBefore w:val="0"/>
        <w:widowControl w:val="0"/>
        <w:numPr>
          <w:ilvl w:val="0"/>
          <w:numId w:val="0"/>
        </w:numPr>
        <w:kinsoku/>
        <w:wordWrap/>
        <w:overflowPunct/>
        <w:topLinePunct/>
        <w:autoSpaceDE/>
        <w:autoSpaceDN/>
        <w:bidi w:val="0"/>
        <w:adjustRightInd/>
        <w:snapToGrid/>
        <w:spacing w:line="240" w:lineRule="auto"/>
        <w:ind w:left="420" w:leftChars="0" w:right="0" w:rightChars="0"/>
        <w:jc w:val="both"/>
        <w:textAlignment w:val="auto"/>
        <w:outlineLvl w:val="9"/>
        <w:rPr>
          <w:rFonts w:hint="default" w:ascii="仿宋" w:hAnsi="仿宋" w:eastAsia="仿宋" w:cs="仿宋"/>
          <w:kern w:val="2"/>
          <w:sz w:val="27"/>
          <w:szCs w:val="27"/>
          <w:lang w:val="en-US" w:eastAsia="zh-CN"/>
        </w:rPr>
      </w:pPr>
      <w:r>
        <w:rPr>
          <w:rFonts w:hint="eastAsia" w:ascii="仿宋" w:hAnsi="仿宋" w:eastAsia="仿宋" w:cs="仿宋"/>
          <w:kern w:val="2"/>
          <w:sz w:val="27"/>
          <w:szCs w:val="27"/>
          <w:lang w:val="en-US" w:eastAsia="zh-CN"/>
        </w:rPr>
        <w:t>三、项目绩效情况</w:t>
      </w:r>
    </w:p>
    <w:p w14:paraId="2586FB02">
      <w:pPr>
        <w:keepNext w:val="0"/>
        <w:keepLines w:val="0"/>
        <w:pageBreakBefore w:val="0"/>
        <w:widowControl w:val="0"/>
        <w:numPr>
          <w:ilvl w:val="0"/>
          <w:numId w:val="0"/>
        </w:numPr>
        <w:kinsoku/>
        <w:wordWrap/>
        <w:overflowPunct/>
        <w:topLinePunct/>
        <w:autoSpaceDE/>
        <w:autoSpaceDN/>
        <w:bidi w:val="0"/>
        <w:adjustRightInd/>
        <w:snapToGrid/>
        <w:spacing w:line="240" w:lineRule="auto"/>
        <w:ind w:right="0" w:rightChars="0" w:firstLine="540" w:firstLineChars="200"/>
        <w:jc w:val="both"/>
        <w:textAlignment w:val="auto"/>
        <w:outlineLvl w:val="9"/>
        <w:rPr>
          <w:rFonts w:hint="eastAsia" w:ascii="仿宋" w:hAnsi="仿宋" w:eastAsia="仿宋" w:cs="仿宋"/>
          <w:kern w:val="2"/>
          <w:sz w:val="27"/>
          <w:szCs w:val="27"/>
        </w:rPr>
      </w:pPr>
      <w:r>
        <w:rPr>
          <w:rFonts w:hint="eastAsia" w:ascii="仿宋" w:hAnsi="仿宋" w:eastAsia="仿宋" w:cs="仿宋"/>
          <w:sz w:val="27"/>
          <w:szCs w:val="27"/>
          <w:lang w:val="en-US" w:eastAsia="zh-CN"/>
        </w:rPr>
        <w:t>本年项目已实施完毕，项目</w:t>
      </w:r>
      <w:r>
        <w:rPr>
          <w:rFonts w:ascii="仿宋" w:hAnsi="仿宋" w:eastAsia="仿宋" w:cs="仿宋"/>
          <w:sz w:val="27"/>
          <w:szCs w:val="27"/>
        </w:rPr>
        <w:t>节约社会医疗成本，</w:t>
      </w:r>
      <w:r>
        <w:rPr>
          <w:rFonts w:hint="eastAsia" w:ascii="仿宋" w:hAnsi="仿宋" w:eastAsia="仿宋" w:cs="仿宋"/>
          <w:kern w:val="2"/>
          <w:sz w:val="27"/>
          <w:szCs w:val="27"/>
        </w:rPr>
        <w:t>促进国家有限卫生资源的合理分配</w:t>
      </w:r>
      <w:r>
        <w:rPr>
          <w:rFonts w:ascii="仿宋" w:hAnsi="仿宋" w:eastAsia="仿宋" w:cs="仿宋"/>
          <w:sz w:val="27"/>
          <w:szCs w:val="27"/>
        </w:rPr>
        <w:t>持续带动全社会加大研发投入，</w:t>
      </w:r>
      <w:r>
        <w:rPr>
          <w:rFonts w:hint="eastAsia" w:ascii="仿宋" w:hAnsi="仿宋" w:eastAsia="仿宋" w:cs="仿宋"/>
          <w:kern w:val="2"/>
          <w:sz w:val="27"/>
          <w:szCs w:val="27"/>
        </w:rPr>
        <w:t>提高结核病精准治疗</w:t>
      </w:r>
      <w:r>
        <w:rPr>
          <w:rFonts w:hint="eastAsia" w:ascii="仿宋" w:hAnsi="仿宋" w:eastAsia="仿宋" w:cs="仿宋"/>
          <w:kern w:val="2"/>
          <w:sz w:val="27"/>
          <w:szCs w:val="27"/>
          <w:lang w:eastAsia="zh-CN"/>
        </w:rPr>
        <w:t>。</w:t>
      </w:r>
      <w:r>
        <w:rPr>
          <w:rFonts w:hint="eastAsia" w:ascii="仿宋" w:hAnsi="仿宋" w:eastAsia="仿宋" w:cs="仿宋"/>
          <w:kern w:val="2"/>
          <w:sz w:val="27"/>
          <w:szCs w:val="27"/>
        </w:rPr>
        <w:t>同时结合细胞模型，利用基因编辑等技术，探讨APOA1蛋白与耐药性结核病状态的关联程度以及在巨噬细胞抗结核免疫中的作用，以</w:t>
      </w:r>
      <w:r>
        <w:rPr>
          <w:rFonts w:hint="eastAsia" w:ascii="仿宋" w:hAnsi="仿宋" w:eastAsia="仿宋" w:cs="仿宋"/>
          <w:kern w:val="2"/>
          <w:sz w:val="27"/>
          <w:szCs w:val="27"/>
          <w:lang w:val="en-US" w:eastAsia="zh-CN"/>
        </w:rPr>
        <w:t>此</w:t>
      </w:r>
      <w:r>
        <w:rPr>
          <w:rFonts w:hint="eastAsia" w:ascii="仿宋" w:hAnsi="仿宋" w:eastAsia="仿宋" w:cs="仿宋"/>
          <w:kern w:val="2"/>
          <w:sz w:val="27"/>
          <w:szCs w:val="27"/>
        </w:rPr>
        <w:t>为推动耐药性结核病的精准防治提供有力的技术支撑。</w:t>
      </w:r>
    </w:p>
    <w:p w14:paraId="2994214A">
      <w:pPr>
        <w:keepNext w:val="0"/>
        <w:keepLines w:val="0"/>
        <w:pageBreakBefore w:val="0"/>
        <w:widowControl w:val="0"/>
        <w:numPr>
          <w:ilvl w:val="0"/>
          <w:numId w:val="0"/>
        </w:numPr>
        <w:kinsoku/>
        <w:wordWrap/>
        <w:overflowPunct/>
        <w:topLinePunct/>
        <w:autoSpaceDE/>
        <w:autoSpaceDN/>
        <w:bidi w:val="0"/>
        <w:adjustRightInd/>
        <w:snapToGrid/>
        <w:spacing w:line="240" w:lineRule="auto"/>
        <w:ind w:right="0" w:rightChars="0" w:firstLine="540" w:firstLineChars="200"/>
        <w:jc w:val="both"/>
        <w:textAlignment w:val="auto"/>
        <w:outlineLvl w:val="9"/>
        <w:rPr>
          <w:rFonts w:hint="eastAsia" w:ascii="仿宋" w:hAnsi="仿宋" w:eastAsia="仿宋" w:cs="仿宋"/>
          <w:kern w:val="2"/>
          <w:sz w:val="27"/>
          <w:szCs w:val="27"/>
          <w:lang w:val="en-US" w:eastAsia="zh-CN"/>
        </w:rPr>
      </w:pPr>
      <w:r>
        <w:rPr>
          <w:rFonts w:hint="eastAsia" w:ascii="仿宋" w:hAnsi="仿宋" w:eastAsia="仿宋" w:cs="仿宋"/>
          <w:kern w:val="2"/>
          <w:sz w:val="27"/>
          <w:szCs w:val="27"/>
          <w:lang w:val="en-US" w:eastAsia="zh-CN"/>
        </w:rPr>
        <w:t>四、其他需要说明的问题</w:t>
      </w:r>
    </w:p>
    <w:p w14:paraId="4C85F3FB">
      <w:pPr>
        <w:keepNext w:val="0"/>
        <w:keepLines w:val="0"/>
        <w:pageBreakBefore w:val="0"/>
        <w:widowControl w:val="0"/>
        <w:numPr>
          <w:ilvl w:val="0"/>
          <w:numId w:val="0"/>
        </w:numPr>
        <w:kinsoku/>
        <w:wordWrap/>
        <w:overflowPunct/>
        <w:topLinePunct/>
        <w:autoSpaceDE/>
        <w:autoSpaceDN/>
        <w:bidi w:val="0"/>
        <w:adjustRightInd/>
        <w:snapToGrid/>
        <w:spacing w:line="240" w:lineRule="auto"/>
        <w:ind w:right="0" w:rightChars="0" w:firstLine="560" w:firstLineChars="200"/>
        <w:jc w:val="both"/>
        <w:textAlignment w:val="auto"/>
        <w:outlineLvl w:val="9"/>
        <w:rPr>
          <w:rFonts w:hint="default" w:ascii="仿宋" w:hAnsi="仿宋" w:eastAsia="仿宋" w:cs="仿宋"/>
          <w:color w:val="000000"/>
          <w:kern w:val="0"/>
          <w:sz w:val="28"/>
          <w:szCs w:val="28"/>
          <w:lang w:val="en-US" w:eastAsia="zh-CN"/>
        </w:rPr>
      </w:pPr>
      <w:r>
        <w:rPr>
          <w:rFonts w:hint="eastAsia" w:ascii="仿宋" w:hAnsi="仿宋" w:eastAsia="仿宋" w:cs="仿宋"/>
          <w:kern w:val="0"/>
          <w:sz w:val="28"/>
          <w:szCs w:val="28"/>
          <w:u w:val="none"/>
          <w:lang w:val="en-US" w:eastAsia="zh-CN"/>
        </w:rPr>
        <w:t>科研项目实施过程中部分相关费用未发生，因此</w:t>
      </w:r>
      <w:r>
        <w:rPr>
          <w:rFonts w:hint="eastAsia" w:ascii="仿宋" w:hAnsi="仿宋" w:eastAsia="仿宋" w:cs="仿宋"/>
          <w:color w:val="000000"/>
          <w:kern w:val="0"/>
          <w:sz w:val="28"/>
          <w:szCs w:val="28"/>
          <w:lang w:val="en-US" w:eastAsia="zh-CN"/>
        </w:rPr>
        <w:t>结余资金0.61万元，</w:t>
      </w:r>
      <w:r>
        <w:rPr>
          <w:rFonts w:hint="eastAsia" w:ascii="仿宋" w:hAnsi="仿宋" w:eastAsia="仿宋" w:cs="仿宋"/>
          <w:kern w:val="0"/>
          <w:sz w:val="28"/>
          <w:szCs w:val="28"/>
          <w:u w:val="none"/>
          <w:lang w:val="en-US" w:eastAsia="zh-CN"/>
        </w:rPr>
        <w:t>结余资金已返还财政。</w:t>
      </w:r>
    </w:p>
    <w:p w14:paraId="20DEE46E">
      <w:pPr>
        <w:pStyle w:val="28"/>
        <w:widowControl/>
        <w:spacing w:before="240" w:after="240"/>
        <w:ind w:firstLine="643" w:firstLineChars="200"/>
        <w:jc w:val="left"/>
        <w:rPr>
          <w:rFonts w:ascii="楷体" w:hAnsi="楷体" w:eastAsia="楷体" w:cs="楷体"/>
          <w:b/>
          <w:bCs/>
          <w:kern w:val="0"/>
          <w:sz w:val="32"/>
          <w:szCs w:val="32"/>
        </w:rPr>
      </w:pPr>
      <w:r>
        <w:rPr>
          <w:rFonts w:ascii="楷体" w:hAnsi="楷体" w:eastAsia="楷体" w:cs="楷体"/>
          <w:b/>
          <w:bCs/>
          <w:kern w:val="0"/>
          <w:sz w:val="32"/>
          <w:szCs w:val="32"/>
        </w:rPr>
        <w:t>（四）单位预算绩效管理制度和核心绩效指标标准体系建设情况。</w:t>
      </w:r>
    </w:p>
    <w:p w14:paraId="619D195B">
      <w:pPr>
        <w:pStyle w:val="28"/>
        <w:widowControl/>
        <w:spacing w:before="240" w:after="240"/>
        <w:ind w:firstLine="560" w:firstLineChars="200"/>
        <w:jc w:val="left"/>
        <w:rPr>
          <w:rFonts w:hint="eastAsia" w:ascii="仿宋" w:hAnsi="仿宋" w:eastAsia="仿宋" w:cs="仿宋"/>
          <w:b w:val="0"/>
          <w:bCs w:val="0"/>
          <w:kern w:val="0"/>
          <w:sz w:val="28"/>
          <w:szCs w:val="28"/>
          <w:lang w:val="en-US" w:eastAsia="zh-CN"/>
        </w:rPr>
      </w:pPr>
      <w:r>
        <w:rPr>
          <w:rFonts w:hint="eastAsia" w:ascii="仿宋" w:hAnsi="仿宋" w:eastAsia="仿宋" w:cs="仿宋"/>
          <w:b w:val="0"/>
          <w:bCs w:val="0"/>
          <w:kern w:val="0"/>
          <w:sz w:val="28"/>
          <w:szCs w:val="28"/>
          <w:lang w:val="en-US" w:eastAsia="zh-CN"/>
        </w:rPr>
        <w:t>我院已建立预算绩效管理制度，落实绩效自评工作，强化绩效评价结果运用。今后，我院将进一步优化绩效指标标准，提升指标科学性、可量化性，持续提高财政资金使用效益。</w:t>
      </w:r>
    </w:p>
    <w:p w14:paraId="06BDCDA2">
      <w:pPr>
        <w:widowControl/>
        <w:spacing w:before="240" w:after="240"/>
        <w:jc w:val="left"/>
        <w:rPr>
          <w:rFonts w:ascii="Times New Roman" w:hAnsi="Times New Roman" w:eastAsia="Times New Roman" w:cs="Times New Roman"/>
          <w:kern w:val="0"/>
          <w:sz w:val="24"/>
        </w:rPr>
      </w:pPr>
    </w:p>
    <w:p w14:paraId="0DCBDBC0">
      <w:pPr>
        <w:widowControl/>
        <w:spacing w:before="240" w:after="240"/>
        <w:jc w:val="left"/>
        <w:rPr>
          <w:rFonts w:ascii="Times New Roman" w:hAnsi="Times New Roman" w:eastAsia="Times New Roman" w:cs="Times New Roman"/>
          <w:kern w:val="0"/>
          <w:sz w:val="24"/>
        </w:rPr>
      </w:pPr>
    </w:p>
    <w:p w14:paraId="54EAD3AB">
      <w:pPr>
        <w:pStyle w:val="3"/>
        <w:keepNext w:val="0"/>
        <w:keepLines w:val="0"/>
        <w:widowControl/>
        <w:spacing w:before="0" w:after="0" w:line="360" w:lineRule="auto"/>
        <w:ind w:left="0" w:right="0"/>
        <w:jc w:val="both"/>
        <w:rPr>
          <w:rFonts w:ascii="方正小标宋简体" w:hAnsi="方正小标宋简体" w:eastAsia="方正小标宋简体" w:cs="方正小标宋简体"/>
          <w:kern w:val="0"/>
          <w:sz w:val="36"/>
          <w:szCs w:val="36"/>
        </w:rPr>
      </w:pPr>
    </w:p>
    <w:p w14:paraId="7D2F9D28">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14:paraId="24B0DEAC">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14:paraId="740C05C2">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14:paraId="33D06BE7">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14:paraId="613B0650">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1CA3F2C7">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14:paraId="6DEA2DA8">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14:paraId="6779A049">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14:paraId="0BF72BB0">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14:paraId="74646ABF">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14:paraId="4E8325F0">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14:paraId="5BB409DA">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14:paraId="75C1FC52">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14:paraId="026EAD19">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14:paraId="09FA4C1A">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68DD866B">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14:paraId="7DAFFA41">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维修费、过路过桥费、保险费、安全奖励费用等支出；公务接待费反映部门（单位）按规定开支的各类公务接待（含外宾接待）费用。</w:t>
      </w:r>
    </w:p>
    <w:p w14:paraId="2674CB81">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14:paraId="0747A906">
      <w:pPr>
        <w:widowControl/>
        <w:spacing w:before="240" w:after="240"/>
        <w:jc w:val="left"/>
        <w:rPr>
          <w:rFonts w:ascii="Times New Roman" w:hAnsi="Times New Roman" w:eastAsia="Times New Roman" w:cs="Times New Roman"/>
          <w:kern w:val="0"/>
          <w:sz w:val="24"/>
        </w:rPr>
      </w:pPr>
    </w:p>
    <w:p w14:paraId="43EB23B5">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14:paraId="1C95170D">
      <w:pPr>
        <w:widowControl/>
        <w:spacing w:before="240" w:after="240"/>
        <w:jc w:val="left"/>
        <w:rPr>
          <w:rFonts w:ascii="Times New Roman" w:hAnsi="Times New Roman" w:eastAsia="Times New Roman" w:cs="Times New Roman"/>
          <w:kern w:val="0"/>
          <w:sz w:val="24"/>
        </w:rPr>
      </w:pPr>
    </w:p>
    <w:p w14:paraId="7C089F26">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本单位决算公开信息反馈和联系方式：</w:t>
      </w:r>
    </w:p>
    <w:p w14:paraId="00026EF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联系人：</w:t>
      </w:r>
      <w:r>
        <w:rPr>
          <w:rFonts w:ascii="FangSong_GB2312" w:hAnsi="FangSong_GB2312" w:eastAsia="FangSong_GB2312" w:cs="FangSong_GB2312"/>
          <w:kern w:val="0"/>
          <w:sz w:val="32"/>
          <w:szCs w:val="32"/>
          <w:lang w:eastAsia="en-US"/>
        </w:rPr>
        <w:t>孙红</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0470-3179516</w:t>
      </w:r>
    </w:p>
    <w:p w14:paraId="0AAAA0B6">
      <w:pPr>
        <w:widowControl/>
        <w:spacing w:before="240" w:after="240"/>
        <w:jc w:val="left"/>
        <w:rPr>
          <w:rFonts w:ascii="Times New Roman" w:hAnsi="Times New Roman" w:eastAsia="Times New Roman" w:cs="Times New Roman"/>
          <w:kern w:val="0"/>
          <w:sz w:val="24"/>
        </w:rPr>
      </w:pPr>
    </w:p>
    <w:p w14:paraId="01B157C4">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单位决算表</w:t>
      </w:r>
    </w:p>
    <w:p w14:paraId="4DD0360A">
      <w:pPr>
        <w:pStyle w:val="28"/>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14:paraId="1C656D5A">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见附件。</w:t>
      </w:r>
    </w:p>
    <w:bookmarkEnd w:id="0"/>
    <w:p w14:paraId="0FA80203">
      <w:pPr>
        <w:adjustRightInd w:val="0"/>
        <w:snapToGrid w:val="0"/>
        <w:rPr>
          <w:rFonts w:ascii="宋体" w:hAnsi="宋体"/>
          <w:b/>
          <w:sz w:val="32"/>
          <w:szCs w:val="32"/>
        </w:rPr>
      </w:pPr>
    </w:p>
    <w:p w14:paraId="064DC7E7">
      <w:pPr>
        <w:tabs>
          <w:tab w:val="left" w:pos="8415"/>
        </w:tabs>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FangSong_GB2312">
    <w:altName w:val="仿宋"/>
    <w:panose1 w:val="00000000000000000000"/>
    <w:charset w:val="00"/>
    <w:family w:val="auto"/>
    <w:pitch w:val="default"/>
    <w:sig w:usb0="00000000" w:usb1="00000000" w:usb2="00000000" w:usb3="00000000" w:csb0="00000000" w:csb1="00000000"/>
  </w:font>
  <w:font w:name="方正小标宋简体">
    <w:altName w:val="黑体"/>
    <w:panose1 w:val="02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 w:name="fang_zheng_xiao_biao_song_t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439EEF50">
    <w:panose1 w:val="02010609060101010101"/>
    <w:charset w:val="86"/>
    <w:family w:val="auto"/>
    <w:pitch w:val="default"/>
    <w:sig w:usb0="00000001" w:usb1="00000000" w:usb2="00000000" w:usb3="00000000" w:csb0="00040001" w:csb1="00000000"/>
  </w:font>
  <w:font w:name="KSOF8BCA4F43">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EAD9C">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290B2">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02E3E7"/>
    <w:multiLevelType w:val="singleLevel"/>
    <w:tmpl w:val="C102E3E7"/>
    <w:lvl w:ilvl="0" w:tentative="0">
      <w:start w:val="1"/>
      <w:numFmt w:val="chineseCounting"/>
      <w:suff w:val="nothing"/>
      <w:lvlText w:val="%1、"/>
      <w:lvlJc w:val="left"/>
      <w:rPr>
        <w:rFonts w:hint="eastAsia"/>
      </w:rPr>
    </w:lvl>
  </w:abstractNum>
  <w:abstractNum w:abstractNumId="1">
    <w:nsid w:val="46E6A1AF"/>
    <w:multiLevelType w:val="singleLevel"/>
    <w:tmpl w:val="46E6A1AF"/>
    <w:lvl w:ilvl="0" w:tentative="0">
      <w:start w:val="1"/>
      <w:numFmt w:val="decimal"/>
      <w:lvlText w:val="%1."/>
      <w:lvlJc w:val="left"/>
      <w:pPr>
        <w:tabs>
          <w:tab w:val="left" w:pos="312"/>
        </w:tabs>
      </w:pPr>
    </w:lvl>
  </w:abstractNum>
  <w:abstractNum w:abstractNumId="2">
    <w:nsid w:val="4C7944F0"/>
    <w:multiLevelType w:val="singleLevel"/>
    <w:tmpl w:val="4C7944F0"/>
    <w:lvl w:ilvl="0" w:tentative="0">
      <w:start w:val="1"/>
      <w:numFmt w:val="chineseCounting"/>
      <w:suff w:val="nothing"/>
      <w:lvlText w:val="（%1）"/>
      <w:lvlJc w:val="left"/>
      <w:pPr>
        <w:ind w:left="481" w:leftChars="0" w:firstLine="0" w:firstLineChars="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33348"/>
    <w:rsid w:val="02076475"/>
    <w:rsid w:val="02661E94"/>
    <w:rsid w:val="045301F6"/>
    <w:rsid w:val="048B085A"/>
    <w:rsid w:val="04A9550D"/>
    <w:rsid w:val="053A13B6"/>
    <w:rsid w:val="05B537F8"/>
    <w:rsid w:val="070535FF"/>
    <w:rsid w:val="07A2707C"/>
    <w:rsid w:val="085A292F"/>
    <w:rsid w:val="0AF67B2D"/>
    <w:rsid w:val="0B8415DD"/>
    <w:rsid w:val="0C11328B"/>
    <w:rsid w:val="0F2C7FC2"/>
    <w:rsid w:val="0F6E34BC"/>
    <w:rsid w:val="101C0036"/>
    <w:rsid w:val="10F458AC"/>
    <w:rsid w:val="115B693C"/>
    <w:rsid w:val="13BD7A03"/>
    <w:rsid w:val="159D4B69"/>
    <w:rsid w:val="15DB3843"/>
    <w:rsid w:val="16361726"/>
    <w:rsid w:val="16380D6D"/>
    <w:rsid w:val="17C70F4E"/>
    <w:rsid w:val="17FE0DAA"/>
    <w:rsid w:val="1A7B53AB"/>
    <w:rsid w:val="1C085EF2"/>
    <w:rsid w:val="1C127328"/>
    <w:rsid w:val="1DBC4C07"/>
    <w:rsid w:val="1E1B36DB"/>
    <w:rsid w:val="1E567D86"/>
    <w:rsid w:val="1F6F14DC"/>
    <w:rsid w:val="1FC61D6D"/>
    <w:rsid w:val="2043516B"/>
    <w:rsid w:val="204557F5"/>
    <w:rsid w:val="214C1E1A"/>
    <w:rsid w:val="21FF3314"/>
    <w:rsid w:val="222F3BF9"/>
    <w:rsid w:val="2366189C"/>
    <w:rsid w:val="23E40A13"/>
    <w:rsid w:val="26143832"/>
    <w:rsid w:val="267A03A2"/>
    <w:rsid w:val="277420AE"/>
    <w:rsid w:val="27DD0881"/>
    <w:rsid w:val="289906DE"/>
    <w:rsid w:val="291E6775"/>
    <w:rsid w:val="297D349C"/>
    <w:rsid w:val="29EB6DC9"/>
    <w:rsid w:val="2ADA6AEC"/>
    <w:rsid w:val="2BCF0B43"/>
    <w:rsid w:val="2C956D4E"/>
    <w:rsid w:val="2DAD0071"/>
    <w:rsid w:val="30356A60"/>
    <w:rsid w:val="3125062A"/>
    <w:rsid w:val="31B45EC9"/>
    <w:rsid w:val="330F7979"/>
    <w:rsid w:val="33A855B9"/>
    <w:rsid w:val="33FB7DDF"/>
    <w:rsid w:val="34607FAC"/>
    <w:rsid w:val="34F00613"/>
    <w:rsid w:val="359F29EC"/>
    <w:rsid w:val="36055D97"/>
    <w:rsid w:val="369E2CA4"/>
    <w:rsid w:val="36B63CE9"/>
    <w:rsid w:val="36F823B4"/>
    <w:rsid w:val="37942C95"/>
    <w:rsid w:val="383F01A8"/>
    <w:rsid w:val="38E5667B"/>
    <w:rsid w:val="3AA6709C"/>
    <w:rsid w:val="3C154DA7"/>
    <w:rsid w:val="3C506168"/>
    <w:rsid w:val="3D911531"/>
    <w:rsid w:val="3DA93D57"/>
    <w:rsid w:val="3E914EFC"/>
    <w:rsid w:val="3EB63280"/>
    <w:rsid w:val="3F4B235E"/>
    <w:rsid w:val="40BA710F"/>
    <w:rsid w:val="43C856AC"/>
    <w:rsid w:val="44DB5381"/>
    <w:rsid w:val="45F14B9E"/>
    <w:rsid w:val="47DD16B3"/>
    <w:rsid w:val="486C6BDF"/>
    <w:rsid w:val="4A655B5A"/>
    <w:rsid w:val="4A8A5DD2"/>
    <w:rsid w:val="4D90440A"/>
    <w:rsid w:val="4DC57E87"/>
    <w:rsid w:val="4E5563E1"/>
    <w:rsid w:val="4FBA6948"/>
    <w:rsid w:val="50221F0B"/>
    <w:rsid w:val="50BB4726"/>
    <w:rsid w:val="5111568A"/>
    <w:rsid w:val="52FC4B82"/>
    <w:rsid w:val="532C36B9"/>
    <w:rsid w:val="54E104D3"/>
    <w:rsid w:val="55E55DA1"/>
    <w:rsid w:val="5697626B"/>
    <w:rsid w:val="582C003C"/>
    <w:rsid w:val="58BA2D20"/>
    <w:rsid w:val="5B8A3673"/>
    <w:rsid w:val="5BC56459"/>
    <w:rsid w:val="5C4C254E"/>
    <w:rsid w:val="5D932CA5"/>
    <w:rsid w:val="5D935AC3"/>
    <w:rsid w:val="5D9C58DF"/>
    <w:rsid w:val="5DC01CBB"/>
    <w:rsid w:val="5E0016A1"/>
    <w:rsid w:val="5E571110"/>
    <w:rsid w:val="5EC7698C"/>
    <w:rsid w:val="5F9658DA"/>
    <w:rsid w:val="5FE01AB3"/>
    <w:rsid w:val="62185D9E"/>
    <w:rsid w:val="62372319"/>
    <w:rsid w:val="63650A0F"/>
    <w:rsid w:val="63B3128D"/>
    <w:rsid w:val="654E3963"/>
    <w:rsid w:val="65D30BB1"/>
    <w:rsid w:val="65FB7547"/>
    <w:rsid w:val="667C005C"/>
    <w:rsid w:val="67355410"/>
    <w:rsid w:val="67436BCB"/>
    <w:rsid w:val="674637A4"/>
    <w:rsid w:val="67E778D0"/>
    <w:rsid w:val="693B7312"/>
    <w:rsid w:val="69D92947"/>
    <w:rsid w:val="6BB13F8E"/>
    <w:rsid w:val="6CB71DEE"/>
    <w:rsid w:val="6CE4102A"/>
    <w:rsid w:val="6D0B417D"/>
    <w:rsid w:val="6DAB3DC3"/>
    <w:rsid w:val="6DAF4998"/>
    <w:rsid w:val="6E11502C"/>
    <w:rsid w:val="6E272FA3"/>
    <w:rsid w:val="70B0102E"/>
    <w:rsid w:val="71754C6E"/>
    <w:rsid w:val="72A518AB"/>
    <w:rsid w:val="72AB7D66"/>
    <w:rsid w:val="72F55887"/>
    <w:rsid w:val="73007336"/>
    <w:rsid w:val="741E5FDD"/>
    <w:rsid w:val="745B56C7"/>
    <w:rsid w:val="74877174"/>
    <w:rsid w:val="75693EA1"/>
    <w:rsid w:val="75CC5773"/>
    <w:rsid w:val="763309E9"/>
    <w:rsid w:val="76F82850"/>
    <w:rsid w:val="77C96E79"/>
    <w:rsid w:val="789E1902"/>
    <w:rsid w:val="79416571"/>
    <w:rsid w:val="79DF285D"/>
    <w:rsid w:val="7D1961AD"/>
    <w:rsid w:val="7DA52D66"/>
    <w:rsid w:val="7E633B9C"/>
    <w:rsid w:val="7F9B48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7"/>
    <w:qFormat/>
    <w:uiPriority w:val="0"/>
    <w:pPr>
      <w:keepNext/>
      <w:keepLines/>
      <w:spacing w:before="260" w:after="260" w:line="416" w:lineRule="auto"/>
      <w:outlineLvl w:val="2"/>
    </w:pPr>
    <w:rPr>
      <w:b/>
      <w:bCs/>
      <w:sz w:val="32"/>
      <w:szCs w:val="32"/>
    </w:rPr>
  </w:style>
  <w:style w:type="paragraph" w:styleId="5">
    <w:name w:val="heading 4"/>
    <w:basedOn w:val="1"/>
    <w:next w:val="1"/>
    <w:link w:val="22"/>
    <w:qFormat/>
    <w:uiPriority w:val="0"/>
    <w:pPr>
      <w:keepNext/>
      <w:keepLines/>
      <w:spacing w:before="280" w:after="290" w:line="376" w:lineRule="auto"/>
      <w:outlineLvl w:val="3"/>
    </w:pPr>
    <w:rPr>
      <w:rFonts w:ascii="Cambria" w:hAnsi="Cambria"/>
      <w:b/>
      <w:bCs/>
      <w:sz w:val="28"/>
      <w:szCs w:val="28"/>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1260"/>
      <w:jc w:val="left"/>
    </w:pPr>
    <w:rPr>
      <w:sz w:val="20"/>
      <w:szCs w:val="20"/>
    </w:rPr>
  </w:style>
  <w:style w:type="paragraph" w:styleId="7">
    <w:name w:val="Document Map"/>
    <w:basedOn w:val="1"/>
    <w:qFormat/>
    <w:uiPriority w:val="0"/>
    <w:pPr>
      <w:shd w:val="clear" w:color="auto" w:fill="000080"/>
    </w:pPr>
  </w:style>
  <w:style w:type="paragraph" w:styleId="8">
    <w:name w:val="toc 5"/>
    <w:basedOn w:val="1"/>
    <w:next w:val="1"/>
    <w:autoRedefine/>
    <w:qFormat/>
    <w:uiPriority w:val="0"/>
    <w:pPr>
      <w:ind w:left="840"/>
      <w:jc w:val="left"/>
    </w:pPr>
    <w:rPr>
      <w:sz w:val="20"/>
      <w:szCs w:val="20"/>
    </w:rPr>
  </w:style>
  <w:style w:type="paragraph" w:styleId="9">
    <w:name w:val="toc 3"/>
    <w:basedOn w:val="1"/>
    <w:next w:val="1"/>
    <w:qFormat/>
    <w:uiPriority w:val="0"/>
    <w:pPr>
      <w:adjustRightInd w:val="0"/>
      <w:snapToGrid w:val="0"/>
      <w:spacing w:line="360" w:lineRule="auto"/>
      <w:ind w:firstLine="400" w:firstLineChars="400"/>
      <w:jc w:val="left"/>
    </w:pPr>
    <w:rPr>
      <w:sz w:val="24"/>
      <w:szCs w:val="20"/>
    </w:rPr>
  </w:style>
  <w:style w:type="paragraph" w:styleId="10">
    <w:name w:val="toc 8"/>
    <w:basedOn w:val="1"/>
    <w:next w:val="1"/>
    <w:autoRedefine/>
    <w:qFormat/>
    <w:uiPriority w:val="0"/>
    <w:pPr>
      <w:ind w:left="1470"/>
      <w:jc w:val="left"/>
    </w:pPr>
    <w:rPr>
      <w:sz w:val="20"/>
      <w:szCs w:val="20"/>
    </w:rPr>
  </w:style>
  <w:style w:type="paragraph" w:styleId="11">
    <w:name w:val="footer"/>
    <w:basedOn w:val="1"/>
    <w:link w:val="25"/>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pPr>
      <w:adjustRightInd w:val="0"/>
      <w:snapToGrid w:val="0"/>
      <w:spacing w:line="360" w:lineRule="auto"/>
      <w:jc w:val="left"/>
    </w:pPr>
    <w:rPr>
      <w:b/>
      <w:bCs/>
      <w:sz w:val="24"/>
      <w:szCs w:val="20"/>
    </w:rPr>
  </w:style>
  <w:style w:type="paragraph" w:styleId="14">
    <w:name w:val="toc 4"/>
    <w:basedOn w:val="1"/>
    <w:next w:val="1"/>
    <w:autoRedefine/>
    <w:qFormat/>
    <w:uiPriority w:val="0"/>
    <w:pPr>
      <w:ind w:left="630"/>
      <w:jc w:val="left"/>
    </w:pPr>
    <w:rPr>
      <w:sz w:val="20"/>
      <w:szCs w:val="20"/>
    </w:rPr>
  </w:style>
  <w:style w:type="paragraph" w:styleId="15">
    <w:name w:val="toc 6"/>
    <w:basedOn w:val="1"/>
    <w:next w:val="1"/>
    <w:autoRedefine/>
    <w:qFormat/>
    <w:uiPriority w:val="0"/>
    <w:pPr>
      <w:ind w:left="1050"/>
      <w:jc w:val="left"/>
    </w:pPr>
    <w:rPr>
      <w:sz w:val="20"/>
      <w:szCs w:val="20"/>
    </w:rPr>
  </w:style>
  <w:style w:type="paragraph" w:styleId="16">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7">
    <w:name w:val="toc 9"/>
    <w:basedOn w:val="1"/>
    <w:next w:val="1"/>
    <w:autoRedefine/>
    <w:qFormat/>
    <w:uiPriority w:val="0"/>
    <w:pPr>
      <w:ind w:left="1680"/>
      <w:jc w:val="left"/>
    </w:pPr>
    <w:rPr>
      <w:sz w:val="20"/>
      <w:szCs w:val="20"/>
    </w:rPr>
  </w:style>
  <w:style w:type="character" w:styleId="20">
    <w:name w:val="page number"/>
    <w:basedOn w:val="19"/>
    <w:qFormat/>
    <w:uiPriority w:val="0"/>
  </w:style>
  <w:style w:type="character" w:styleId="21">
    <w:name w:val="Hyperlink"/>
    <w:basedOn w:val="19"/>
    <w:qFormat/>
    <w:uiPriority w:val="0"/>
    <w:rPr>
      <w:color w:val="0000FF"/>
      <w:u w:val="single"/>
    </w:rPr>
  </w:style>
  <w:style w:type="character" w:customStyle="1" w:styleId="22">
    <w:name w:val="标题 4 Char"/>
    <w:basedOn w:val="19"/>
    <w:link w:val="5"/>
    <w:qFormat/>
    <w:uiPriority w:val="0"/>
    <w:rPr>
      <w:rFonts w:ascii="Cambria" w:hAnsi="Cambria"/>
      <w:b/>
      <w:bCs/>
      <w:kern w:val="2"/>
      <w:sz w:val="28"/>
      <w:szCs w:val="28"/>
    </w:rPr>
  </w:style>
  <w:style w:type="paragraph" w:styleId="23">
    <w:name w:val="No Spacing"/>
    <w:link w:val="24"/>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4">
    <w:name w:val="无间隔 Char"/>
    <w:link w:val="23"/>
    <w:qFormat/>
    <w:locked/>
    <w:uiPriority w:val="0"/>
    <w:rPr>
      <w:rFonts w:eastAsia="仿宋_GB2312"/>
      <w:sz w:val="30"/>
      <w:szCs w:val="22"/>
      <w:lang w:bidi="ar-SA"/>
    </w:rPr>
  </w:style>
  <w:style w:type="character" w:customStyle="1" w:styleId="25">
    <w:name w:val="页脚 Char"/>
    <w:basedOn w:val="19"/>
    <w:link w:val="11"/>
    <w:qFormat/>
    <w:uiPriority w:val="0"/>
    <w:rPr>
      <w:kern w:val="2"/>
      <w:sz w:val="18"/>
      <w:szCs w:val="18"/>
    </w:rPr>
  </w:style>
  <w:style w:type="paragraph" w:styleId="26">
    <w:name w:val="List Paragraph"/>
    <w:basedOn w:val="1"/>
    <w:qFormat/>
    <w:uiPriority w:val="0"/>
    <w:pPr>
      <w:ind w:firstLine="420" w:firstLineChars="200"/>
    </w:pPr>
  </w:style>
  <w:style w:type="character" w:customStyle="1" w:styleId="27">
    <w:name w:val="标题 3 Char"/>
    <w:basedOn w:val="19"/>
    <w:link w:val="4"/>
    <w:qFormat/>
    <w:uiPriority w:val="0"/>
    <w:rPr>
      <w:b/>
      <w:bCs/>
      <w:kern w:val="2"/>
      <w:sz w:val="32"/>
      <w:szCs w:val="32"/>
    </w:rPr>
  </w:style>
  <w:style w:type="paragraph" w:customStyle="1" w:styleId="28">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32</Pages>
  <Words>387</Words>
  <Characters>393</Characters>
  <Lines>1</Lines>
  <Paragraphs>1</Paragraphs>
  <TotalTime>75</TotalTime>
  <ScaleCrop>false</ScaleCrop>
  <LinksUpToDate>false</LinksUpToDate>
  <CharactersWithSpaces>404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叶子</cp:lastModifiedBy>
  <cp:lastPrinted>2026-09-23T06:43:42Z</cp:lastPrinted>
  <dcterms:modified xsi:type="dcterms:W3CDTF">2026-09-23T07:26:45Z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23ABEC7888024EF8A9773DECDC98112B_13</vt:lpwstr>
  </property>
  <property fmtid="{D5CDD505-2E9C-101B-9397-08002B2CF9AE}" pid="3" name="KSOProductBuildVer">
    <vt:lpwstr>2052-12.1.0.28505</vt:lpwstr>
  </property>
  <property fmtid="{D5CDD505-2E9C-101B-9397-08002B2CF9AE}" pid="4" name="KSOTemplateDocerSaveRecord">
    <vt:lpwstr>eyJoZGlkIjoiNDc2MGJmNmUwNDY2M2FhODllOTUzM2UzYTAwYzYzZDAiLCJ1c2VySWQiOiI4MjYzMTkwNTIifQ==</vt:lpwstr>
  </property>
</Properties>
</file>