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5085A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ind w:left="0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详细评审</w:t>
      </w:r>
    </w:p>
    <w:p w14:paraId="3B1827DD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/>
        <w:autoSpaceDE/>
        <w:autoSpaceDN/>
        <w:bidi w:val="0"/>
        <w:ind w:left="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综合评分法：分为投标报价评审、商务部分评审、技术部分评审（得分四舍五入保留两位小数）。</w:t>
      </w:r>
    </w:p>
    <w:tbl>
      <w:tblPr>
        <w:tblStyle w:val="10"/>
        <w:tblW w:w="498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2143"/>
        <w:gridCol w:w="6479"/>
      </w:tblGrid>
      <w:tr w14:paraId="40BB0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4" w:type="dxa"/>
            <w:vAlign w:val="center"/>
          </w:tcPr>
          <w:p w14:paraId="19B8D314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480" w:lineRule="auto"/>
              <w:ind w:lef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评审因素</w:t>
            </w:r>
          </w:p>
        </w:tc>
        <w:tc>
          <w:tcPr>
            <w:tcW w:w="8623" w:type="dxa"/>
            <w:gridSpan w:val="2"/>
            <w:vAlign w:val="center"/>
          </w:tcPr>
          <w:p w14:paraId="3C739D85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评审标准</w:t>
            </w:r>
          </w:p>
        </w:tc>
      </w:tr>
      <w:tr w14:paraId="12C1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4" w:type="dxa"/>
            <w:vAlign w:val="center"/>
          </w:tcPr>
          <w:p w14:paraId="35B44180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ind w:lef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分值构成</w:t>
            </w:r>
          </w:p>
        </w:tc>
        <w:tc>
          <w:tcPr>
            <w:tcW w:w="8623" w:type="dxa"/>
            <w:gridSpan w:val="2"/>
            <w:vAlign w:val="center"/>
          </w:tcPr>
          <w:p w14:paraId="03C1AD6B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技术部分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40.0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分</w:t>
            </w:r>
          </w:p>
          <w:p w14:paraId="4A235BA8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商务部分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30.0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分</w:t>
            </w:r>
          </w:p>
          <w:p w14:paraId="18A5E1C7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报价得分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.0分</w:t>
            </w:r>
          </w:p>
        </w:tc>
      </w:tr>
      <w:tr w14:paraId="07643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4" w:type="dxa"/>
            <w:vMerge w:val="restart"/>
            <w:textDirection w:val="tbRlV"/>
            <w:vAlign w:val="center"/>
          </w:tcPr>
          <w:p w14:paraId="2A351CE3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360" w:lineRule="auto"/>
              <w:ind w:left="113" w:right="113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技术部分</w:t>
            </w:r>
          </w:p>
        </w:tc>
        <w:tc>
          <w:tcPr>
            <w:tcW w:w="2143" w:type="dxa"/>
            <w:vAlign w:val="center"/>
          </w:tcPr>
          <w:p w14:paraId="0B4506DA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维修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方案</w:t>
            </w:r>
          </w:p>
          <w:p w14:paraId="1550DA5D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.0分)</w:t>
            </w:r>
          </w:p>
        </w:tc>
        <w:tc>
          <w:tcPr>
            <w:tcW w:w="6480" w:type="dxa"/>
            <w:vAlign w:val="center"/>
          </w:tcPr>
          <w:p w14:paraId="0727A2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spacing w:line="360" w:lineRule="auto"/>
              <w:ind w:left="0" w:firstLine="480" w:firstLineChars="20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针对设备常见故障提供清晰、贴合设备实际的维修排查思路，方案针对性强、简单实用、可落地得11-14分；有基础维修思路、基本贴合设备需求得6-10分；仅通用模板、无设备针对性内容得1-5分；未提供方案不得分。</w:t>
            </w:r>
          </w:p>
        </w:tc>
      </w:tr>
      <w:tr w14:paraId="06485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1304" w:type="dxa"/>
            <w:vMerge w:val="continue"/>
            <w:textDirection w:val="tbRlV"/>
            <w:vAlign w:val="center"/>
          </w:tcPr>
          <w:p w14:paraId="164AF0A8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360" w:lineRule="auto"/>
              <w:ind w:left="113" w:right="113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3" w:type="dxa"/>
            <w:vAlign w:val="center"/>
          </w:tcPr>
          <w:p w14:paraId="18F88CBC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质量保障</w:t>
            </w:r>
          </w:p>
          <w:p w14:paraId="3E107A2B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13.0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分)</w:t>
            </w:r>
          </w:p>
        </w:tc>
        <w:tc>
          <w:tcPr>
            <w:tcW w:w="6480" w:type="dxa"/>
            <w:vAlign w:val="center"/>
          </w:tcPr>
          <w:p w14:paraId="196C14F0">
            <w:pPr>
              <w:pStyle w:val="1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360" w:lineRule="auto"/>
              <w:ind w:left="0" w:right="0" w:firstLine="480" w:firstLineChars="20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明确本次维修的修复标准、配件质量、调试校验基础保障，可确保设备正常稳定运行得10-13分；有基础质量保障措施、内容较简单得5-9分；无任何质量保障说明得1-4分；未提供不得分。</w:t>
            </w:r>
          </w:p>
        </w:tc>
      </w:tr>
      <w:tr w14:paraId="0838A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</w:trPr>
        <w:tc>
          <w:tcPr>
            <w:tcW w:w="1304" w:type="dxa"/>
            <w:vMerge w:val="continue"/>
            <w:textDirection w:val="tbRlV"/>
            <w:vAlign w:val="center"/>
          </w:tcPr>
          <w:p w14:paraId="2A9700B4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360" w:lineRule="auto"/>
              <w:ind w:left="113" w:right="113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3" w:type="dxa"/>
            <w:vAlign w:val="center"/>
          </w:tcPr>
          <w:p w14:paraId="5EC45883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应急保障</w:t>
            </w:r>
          </w:p>
          <w:p w14:paraId="6713A91D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.0分)</w:t>
            </w:r>
          </w:p>
        </w:tc>
        <w:tc>
          <w:tcPr>
            <w:tcW w:w="6480" w:type="dxa"/>
            <w:vAlign w:val="center"/>
          </w:tcPr>
          <w:p w14:paraId="45501F40">
            <w:pPr>
              <w:pStyle w:val="1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360" w:lineRule="auto"/>
              <w:ind w:left="0" w:right="0" w:firstLine="480" w:firstLineChars="20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明确维修工期、简易施工规范，同时具备基础停机应急处理方式，不影响科室常规工作得10-13分；有基础工期说明、应急措施简单得5-9分；无工期及应急相关内容得1-4分；未提供不得分。</w:t>
            </w:r>
          </w:p>
        </w:tc>
      </w:tr>
      <w:tr w14:paraId="3C659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4" w:type="dxa"/>
            <w:vMerge w:val="restart"/>
            <w:textDirection w:val="tbRlV"/>
            <w:vAlign w:val="center"/>
          </w:tcPr>
          <w:p w14:paraId="59C4A4FE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360" w:lineRule="auto"/>
              <w:ind w:left="113" w:right="113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商务部分</w:t>
            </w:r>
          </w:p>
        </w:tc>
        <w:tc>
          <w:tcPr>
            <w:tcW w:w="2143" w:type="dxa"/>
            <w:vAlign w:val="center"/>
          </w:tcPr>
          <w:p w14:paraId="3ABE41E2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售后服务</w:t>
            </w:r>
          </w:p>
          <w:p w14:paraId="77ECF79E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.0分)</w:t>
            </w:r>
          </w:p>
        </w:tc>
        <w:tc>
          <w:tcPr>
            <w:tcW w:w="6480" w:type="dxa"/>
            <w:vAlign w:val="center"/>
          </w:tcPr>
          <w:p w14:paraId="6D314F08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360" w:lineRule="auto"/>
              <w:ind w:left="0" w:firstLine="480" w:firstLineChars="20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根据投标人售后响应速度、质保服务、技术保障等整体服务能力综合打分。售后保障完善，可提供基础技术支持的得16-20分；售后承诺齐全、能满足基本使用及售后需求的得9-15分；售后条款简单得1-8分；未提供售后服务承诺及方案的不得分。</w:t>
            </w:r>
          </w:p>
        </w:tc>
      </w:tr>
      <w:tr w14:paraId="61EF5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304" w:type="dxa"/>
            <w:vMerge w:val="continue"/>
            <w:textDirection w:val="tbRlV"/>
            <w:vAlign w:val="center"/>
          </w:tcPr>
          <w:p w14:paraId="7E5386D9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360" w:lineRule="auto"/>
              <w:ind w:left="113" w:right="113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55BDECD8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同类业绩</w:t>
            </w:r>
          </w:p>
          <w:p w14:paraId="06DCB4EC">
            <w:pPr>
              <w:widowControl w:val="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（5.0分）</w:t>
            </w:r>
          </w:p>
        </w:tc>
        <w:tc>
          <w:tcPr>
            <w:tcW w:w="6480" w:type="dxa"/>
            <w:vAlign w:val="center"/>
          </w:tcPr>
          <w:p w14:paraId="7ACF6F93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360" w:lineRule="auto"/>
              <w:ind w:left="0" w:firstLine="480" w:firstLineChars="20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评审投标人近3年内（自投标截止之日倒算）各类医疗设备维修、维保服务业绩，每提供1份真实有效的医疗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设备维修/维保合同及验收佐证材料得2分；最高得5分。</w:t>
            </w:r>
          </w:p>
        </w:tc>
      </w:tr>
      <w:tr w14:paraId="636C3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304" w:type="dxa"/>
            <w:vMerge w:val="continue"/>
            <w:textDirection w:val="tbRlV"/>
            <w:vAlign w:val="center"/>
          </w:tcPr>
          <w:p w14:paraId="444644F6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360" w:lineRule="auto"/>
              <w:ind w:left="113" w:right="113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3B98B33C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服务承诺</w:t>
            </w:r>
          </w:p>
          <w:p w14:paraId="4E90DA55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（5.0分）</w:t>
            </w:r>
          </w:p>
        </w:tc>
        <w:tc>
          <w:tcPr>
            <w:tcW w:w="6480" w:type="dxa"/>
            <w:vAlign w:val="center"/>
          </w:tcPr>
          <w:p w14:paraId="685AB4DB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360" w:lineRule="auto"/>
              <w:ind w:left="0"/>
              <w:jc w:val="left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根据投标人为本项目提供的履约保障、应急服务、便民增值服务、承诺完善、包含应急处置、免费巡检校准、无隐形收费及违约保障等承诺内容打分。</w:t>
            </w:r>
          </w:p>
        </w:tc>
      </w:tr>
      <w:tr w14:paraId="32A1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304" w:type="dxa"/>
            <w:textDirection w:val="tbRlV"/>
            <w:vAlign w:val="center"/>
          </w:tcPr>
          <w:p w14:paraId="41597BA0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360" w:lineRule="auto"/>
              <w:ind w:left="113" w:right="113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价格部分</w:t>
            </w:r>
          </w:p>
        </w:tc>
        <w:tc>
          <w:tcPr>
            <w:tcW w:w="2143" w:type="dxa"/>
            <w:vAlign w:val="center"/>
          </w:tcPr>
          <w:p w14:paraId="0620F094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投标报价得分</w:t>
            </w:r>
          </w:p>
          <w:p w14:paraId="6DCE53B9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0.0分)</w:t>
            </w:r>
          </w:p>
        </w:tc>
        <w:tc>
          <w:tcPr>
            <w:tcW w:w="6480" w:type="dxa"/>
            <w:vAlign w:val="center"/>
          </w:tcPr>
          <w:p w14:paraId="4F0A5A62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报价得分＝（评标基准价/投标报价）×价格分值【注：满足招标文件要求且投标价格最低的投标报价为评标基准价。】最低报价不是中标的唯一依据。因落实政府采购政策进行价格调整的，以调整后的价格计算评标基准价和投标报价。</w:t>
            </w:r>
          </w:p>
        </w:tc>
      </w:tr>
    </w:tbl>
    <w:p w14:paraId="07802E80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0" w:firstLineChars="0"/>
        <w:jc w:val="center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sectPr>
      <w:footerReference r:id="rId5" w:type="default"/>
      <w:pgSz w:w="11900" w:h="16840"/>
      <w:pgMar w:top="1440" w:right="1080" w:bottom="1440" w:left="1080" w:header="850" w:footer="850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ECE30">
    <w:pPr>
      <w:spacing w:line="173" w:lineRule="auto"/>
      <w:ind w:left="4415"/>
      <w:rPr>
        <w:rFonts w:ascii="Lucida Sans Unicode" w:hAnsi="Lucida Sans Unicode" w:eastAsia="Lucida Sans Unicode" w:cs="Lucida Sans Unicode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2" name="文本框 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48F5E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LOZRm0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348F5E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2BA21E0"/>
    <w:rsid w:val="04ED23F9"/>
    <w:rsid w:val="063E7632"/>
    <w:rsid w:val="071D7ECD"/>
    <w:rsid w:val="0E727478"/>
    <w:rsid w:val="0E7532C7"/>
    <w:rsid w:val="0EF01271"/>
    <w:rsid w:val="1262046D"/>
    <w:rsid w:val="161D1B07"/>
    <w:rsid w:val="170A5E79"/>
    <w:rsid w:val="18CA6897"/>
    <w:rsid w:val="1939138F"/>
    <w:rsid w:val="1A0A171C"/>
    <w:rsid w:val="1B1C1F8D"/>
    <w:rsid w:val="1B9B6989"/>
    <w:rsid w:val="1BE834C2"/>
    <w:rsid w:val="1CB5269E"/>
    <w:rsid w:val="1CE614CE"/>
    <w:rsid w:val="1DF51E6B"/>
    <w:rsid w:val="1EB67C69"/>
    <w:rsid w:val="203A6C53"/>
    <w:rsid w:val="20763D63"/>
    <w:rsid w:val="214C3DA9"/>
    <w:rsid w:val="23992A22"/>
    <w:rsid w:val="25635DDE"/>
    <w:rsid w:val="278C2D5B"/>
    <w:rsid w:val="28CB1C76"/>
    <w:rsid w:val="2906152F"/>
    <w:rsid w:val="2A303464"/>
    <w:rsid w:val="2E3B38CD"/>
    <w:rsid w:val="2EEB70FA"/>
    <w:rsid w:val="2F1E3402"/>
    <w:rsid w:val="2F396072"/>
    <w:rsid w:val="2F8543D0"/>
    <w:rsid w:val="323416B0"/>
    <w:rsid w:val="3B1E7320"/>
    <w:rsid w:val="3E247684"/>
    <w:rsid w:val="3E891645"/>
    <w:rsid w:val="3F4D773D"/>
    <w:rsid w:val="413E207F"/>
    <w:rsid w:val="421A3B26"/>
    <w:rsid w:val="42792EE9"/>
    <w:rsid w:val="43E61B91"/>
    <w:rsid w:val="458F793F"/>
    <w:rsid w:val="47396D1F"/>
    <w:rsid w:val="4B173452"/>
    <w:rsid w:val="4B2A1A86"/>
    <w:rsid w:val="4B6E0F4A"/>
    <w:rsid w:val="4D066034"/>
    <w:rsid w:val="4E427657"/>
    <w:rsid w:val="4FEB46A2"/>
    <w:rsid w:val="504510E6"/>
    <w:rsid w:val="51886CB3"/>
    <w:rsid w:val="53BB4B14"/>
    <w:rsid w:val="53BD07B5"/>
    <w:rsid w:val="53ED5ABA"/>
    <w:rsid w:val="56832730"/>
    <w:rsid w:val="5A2455F8"/>
    <w:rsid w:val="5C0C497F"/>
    <w:rsid w:val="5F860D22"/>
    <w:rsid w:val="611E567E"/>
    <w:rsid w:val="61821092"/>
    <w:rsid w:val="646B72B1"/>
    <w:rsid w:val="66186A5F"/>
    <w:rsid w:val="6A0F309B"/>
    <w:rsid w:val="6AC5685E"/>
    <w:rsid w:val="6B234128"/>
    <w:rsid w:val="70F85C81"/>
    <w:rsid w:val="722A4FD9"/>
    <w:rsid w:val="7375655F"/>
    <w:rsid w:val="75C61632"/>
    <w:rsid w:val="75F778F0"/>
    <w:rsid w:val="774F5AE2"/>
    <w:rsid w:val="777F2499"/>
    <w:rsid w:val="7817392B"/>
    <w:rsid w:val="79D16A76"/>
    <w:rsid w:val="7F1731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widowControl w:val="0"/>
      <w:wordWrap w:val="0"/>
      <w:topLinePunct/>
      <w:spacing w:before="0" w:after="0" w:line="360" w:lineRule="auto"/>
      <w:jc w:val="center"/>
      <w:outlineLvl w:val="0"/>
    </w:pPr>
    <w:rPr>
      <w:rFonts w:ascii="宋体" w:hAnsi="宋体" w:eastAsia="宋体" w:cstheme="minorBidi"/>
      <w:b/>
      <w:sz w:val="28"/>
      <w:szCs w:val="22"/>
    </w:rPr>
  </w:style>
  <w:style w:type="paragraph" w:styleId="3">
    <w:name w:val="heading 2"/>
    <w:next w:val="1"/>
    <w:unhideWhenUsed/>
    <w:qFormat/>
    <w:uiPriority w:val="0"/>
    <w:pPr>
      <w:widowControl w:val="0"/>
      <w:wordWrap w:val="0"/>
      <w:topLinePunct/>
      <w:spacing w:before="0" w:after="0" w:line="360" w:lineRule="auto"/>
      <w:jc w:val="center"/>
      <w:outlineLvl w:val="1"/>
    </w:pPr>
    <w:rPr>
      <w:rFonts w:ascii="宋体" w:hAnsi="宋体" w:eastAsia="宋体" w:cstheme="minorBidi"/>
      <w:b/>
      <w:sz w:val="28"/>
      <w:szCs w:val="22"/>
    </w:rPr>
  </w:style>
  <w:style w:type="paragraph" w:styleId="4">
    <w:name w:val="heading 3"/>
    <w:basedOn w:val="1"/>
    <w:next w:val="5"/>
    <w:qFormat/>
    <w:uiPriority w:val="1"/>
    <w:pPr>
      <w:ind w:left="106"/>
      <w:outlineLvl w:val="3"/>
    </w:pPr>
    <w:rPr>
      <w:rFonts w:ascii="宋体" w:hAnsi="宋体" w:eastAsia="宋体" w:cs="宋体"/>
      <w:sz w:val="21"/>
      <w:szCs w:val="21"/>
      <w:lang w:val="zh-CN" w:eastAsia="zh-CN" w:bidi="zh-CN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771CAA"/>
      <w:u w:val="none"/>
      <w:bdr w:val="single" w:color="DDDDDD" w:sz="6" w:space="0"/>
    </w:rPr>
  </w:style>
  <w:style w:type="character" w:styleId="13">
    <w:name w:val="Emphasis"/>
    <w:basedOn w:val="11"/>
    <w:qFormat/>
    <w:uiPriority w:val="0"/>
    <w:rPr>
      <w:color w:val="F73131"/>
    </w:rPr>
  </w:style>
  <w:style w:type="character" w:styleId="14">
    <w:name w:val="Hyperlink"/>
    <w:basedOn w:val="11"/>
    <w:qFormat/>
    <w:uiPriority w:val="0"/>
    <w:rPr>
      <w:color w:val="2440B3"/>
      <w:u w:val="none"/>
    </w:rPr>
  </w:style>
  <w:style w:type="character" w:styleId="15">
    <w:name w:val="HTML Cite"/>
    <w:basedOn w:val="11"/>
    <w:qFormat/>
    <w:uiPriority w:val="0"/>
    <w:rPr>
      <w:color w:val="008000"/>
    </w:rPr>
  </w:style>
  <w:style w:type="table" w:customStyle="1" w:styleId="1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paragraph" w:customStyle="1" w:styleId="18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</w:rPr>
  </w:style>
  <w:style w:type="paragraph" w:customStyle="1" w:styleId="19">
    <w:name w:val="管理正文"/>
    <w:basedOn w:val="1"/>
    <w:autoRedefine/>
    <w:qFormat/>
    <w:uiPriority w:val="0"/>
    <w:pPr>
      <w:spacing w:line="360" w:lineRule="auto"/>
      <w:ind w:firstLine="431"/>
    </w:pPr>
    <w:rPr>
      <w:rFonts w:ascii="Times New Roman" w:hAnsi="Times New Roman"/>
      <w:sz w:val="24"/>
      <w:szCs w:val="24"/>
    </w:rPr>
  </w:style>
  <w:style w:type="character" w:customStyle="1" w:styleId="20">
    <w:name w:val="c-icon"/>
    <w:basedOn w:val="11"/>
    <w:qFormat/>
    <w:uiPriority w:val="0"/>
  </w:style>
  <w:style w:type="character" w:customStyle="1" w:styleId="21">
    <w:name w:val="hover"/>
    <w:basedOn w:val="11"/>
    <w:qFormat/>
    <w:uiPriority w:val="0"/>
  </w:style>
  <w:style w:type="character" w:customStyle="1" w:styleId="22">
    <w:name w:val="hover1"/>
    <w:basedOn w:val="11"/>
    <w:qFormat/>
    <w:uiPriority w:val="0"/>
    <w:rPr>
      <w:color w:val="315EFB"/>
    </w:rPr>
  </w:style>
  <w:style w:type="character" w:customStyle="1" w:styleId="23">
    <w:name w:val="hover2"/>
    <w:basedOn w:val="11"/>
    <w:qFormat/>
    <w:uiPriority w:val="0"/>
    <w:rPr>
      <w:color w:val="335BFF"/>
    </w:rPr>
  </w:style>
  <w:style w:type="character" w:customStyle="1" w:styleId="24">
    <w:name w:val="hover3"/>
    <w:basedOn w:val="11"/>
    <w:qFormat/>
    <w:uiPriority w:val="0"/>
  </w:style>
  <w:style w:type="character" w:customStyle="1" w:styleId="25">
    <w:name w:val="hover4"/>
    <w:basedOn w:val="11"/>
    <w:qFormat/>
    <w:uiPriority w:val="0"/>
    <w:rPr>
      <w:color w:val="315EFB"/>
    </w:rPr>
  </w:style>
  <w:style w:type="character" w:customStyle="1" w:styleId="26">
    <w:name w:val="name"/>
    <w:basedOn w:val="11"/>
    <w:qFormat/>
    <w:uiPriority w:val="0"/>
    <w:rPr>
      <w:color w:val="1E1F24"/>
    </w:rPr>
  </w:style>
  <w:style w:type="character" w:customStyle="1" w:styleId="27">
    <w:name w:val="hover25"/>
    <w:basedOn w:val="11"/>
    <w:qFormat/>
    <w:uiPriority w:val="0"/>
    <w:rPr>
      <w:color w:val="335BFF"/>
    </w:rPr>
  </w:style>
  <w:style w:type="character" w:customStyle="1" w:styleId="28">
    <w:name w:val="hover26"/>
    <w:basedOn w:val="11"/>
    <w:qFormat/>
    <w:uiPriority w:val="0"/>
  </w:style>
  <w:style w:type="character" w:customStyle="1" w:styleId="29">
    <w:name w:val="hover27"/>
    <w:basedOn w:val="11"/>
    <w:qFormat/>
    <w:uiPriority w:val="0"/>
    <w:rPr>
      <w:color w:val="315EFB"/>
    </w:rPr>
  </w:style>
  <w:style w:type="character" w:customStyle="1" w:styleId="30">
    <w:name w:val="hover28"/>
    <w:basedOn w:val="11"/>
    <w:qFormat/>
    <w:uiPriority w:val="0"/>
  </w:style>
  <w:style w:type="character" w:customStyle="1" w:styleId="31">
    <w:name w:val="hover29"/>
    <w:basedOn w:val="11"/>
    <w:qFormat/>
    <w:uiPriority w:val="0"/>
    <w:rPr>
      <w:color w:val="315EFB"/>
    </w:rPr>
  </w:style>
  <w:style w:type="character" w:customStyle="1" w:styleId="32">
    <w:name w:val="c-icon28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752</Words>
  <Characters>818</Characters>
  <Lines>0</Lines>
  <Paragraphs>0</Paragraphs>
  <TotalTime>29</TotalTime>
  <ScaleCrop>false</ScaleCrop>
  <LinksUpToDate>false</LinksUpToDate>
  <CharactersWithSpaces>818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2024-05-16T07:00:00Z</dcterms:created>
  <dc:creator>甘美</dc:creator>
  <cp:lastModifiedBy>A李宁</cp:lastModifiedBy>
  <cp:lastPrinted>2026-05-11T06:23:00Z</cp:lastPrinted>
  <dcterms:modified xsi:type="dcterms:W3CDTF">2026-09-21T06:41:41Z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2024-05-18T08:58:00Z</vt:filetime>
  </property>
  <property fmtid="{D5CDD505-2E9C-101B-9397-08002B2CF9AE}" pid="4" name="KSOProductBuildVer">
    <vt:lpwstr>2052-12.1.0.28505</vt:lpwstr>
  </property>
  <property fmtid="{D5CDD505-2E9C-101B-9397-08002B2CF9AE}" pid="5" name="ICV">
    <vt:lpwstr>E31EBDB7635845CDAF36BF707AD0402D_13</vt:lpwstr>
  </property>
  <property fmtid="{D5CDD505-2E9C-101B-9397-08002B2CF9AE}" pid="6" name="KSOTemplateDocerSaveRecord">
    <vt:lpwstr>eyJoZGlkIjoiOWNjNTViNzRiYmI4YWJmYzZiMjQ4OTQ5MWFlZmMyNTgiLCJ1c2VySWQiOiI0MDA1MTA1MjkifQ==</vt:lpwstr>
  </property>
</Properties>
</file>