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5085A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ind w:left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详细评审</w:t>
      </w:r>
    </w:p>
    <w:p w14:paraId="3B1827DD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/>
        <w:autoSpaceDE/>
        <w:autoSpaceDN/>
        <w:bidi w:val="0"/>
        <w:ind w:left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综合评分法：分为投标报价评审、商务部分评审、技术部分评审（得分四舍五入保留两位小数）。</w:t>
      </w:r>
    </w:p>
    <w:tbl>
      <w:tblPr>
        <w:tblStyle w:val="10"/>
        <w:tblW w:w="498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2143"/>
        <w:gridCol w:w="6479"/>
      </w:tblGrid>
      <w:tr w14:paraId="40BB0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 w14:paraId="19B8D314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80" w:lineRule="auto"/>
              <w:ind w:lef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评审因素</w:t>
            </w:r>
          </w:p>
        </w:tc>
        <w:tc>
          <w:tcPr>
            <w:tcW w:w="8623" w:type="dxa"/>
            <w:gridSpan w:val="2"/>
            <w:vAlign w:val="center"/>
          </w:tcPr>
          <w:p w14:paraId="3C739D85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评审标准</w:t>
            </w:r>
          </w:p>
        </w:tc>
      </w:tr>
      <w:tr w14:paraId="12C10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 w14:paraId="35B44180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ind w:lef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分值构成</w:t>
            </w:r>
          </w:p>
        </w:tc>
        <w:tc>
          <w:tcPr>
            <w:tcW w:w="8623" w:type="dxa"/>
            <w:gridSpan w:val="2"/>
            <w:vAlign w:val="center"/>
          </w:tcPr>
          <w:p w14:paraId="03C1AD6B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技术部分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40.0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分</w:t>
            </w:r>
          </w:p>
          <w:p w14:paraId="4A235BA8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商务部分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30.0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分</w:t>
            </w:r>
          </w:p>
          <w:p w14:paraId="18A5E1C7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报价得分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.0分</w:t>
            </w:r>
          </w:p>
        </w:tc>
      </w:tr>
      <w:tr w14:paraId="07643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Merge w:val="restart"/>
            <w:textDirection w:val="tbRlV"/>
            <w:vAlign w:val="center"/>
          </w:tcPr>
          <w:p w14:paraId="2A351CE3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360" w:lineRule="auto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技术部分</w:t>
            </w:r>
          </w:p>
        </w:tc>
        <w:tc>
          <w:tcPr>
            <w:tcW w:w="2143" w:type="dxa"/>
            <w:vAlign w:val="center"/>
          </w:tcPr>
          <w:p w14:paraId="0B4506DA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维修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方案</w:t>
            </w:r>
          </w:p>
          <w:p w14:paraId="1550DA5D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.0分)</w:t>
            </w:r>
          </w:p>
        </w:tc>
        <w:tc>
          <w:tcPr>
            <w:tcW w:w="6480" w:type="dxa"/>
            <w:vAlign w:val="center"/>
          </w:tcPr>
          <w:p w14:paraId="0727A2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spacing w:line="360" w:lineRule="auto"/>
              <w:ind w:left="0"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针对设备常见故障提供清晰、贴合设备实际的维修排查思路，方案针对性强、简单实用、可落地得11-14分；有基础维修思路、基本贴合设备需求得6-10分；仅通用模板、无设备针对性内容得1-5分；未提供方案不得分。</w:t>
            </w:r>
          </w:p>
        </w:tc>
      </w:tr>
      <w:tr w14:paraId="06485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304" w:type="dxa"/>
            <w:vMerge w:val="continue"/>
            <w:textDirection w:val="tbRlV"/>
            <w:vAlign w:val="center"/>
          </w:tcPr>
          <w:p w14:paraId="164AF0A8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360" w:lineRule="auto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18F88CBC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质量保障</w:t>
            </w:r>
          </w:p>
          <w:p w14:paraId="3E107A2B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13.0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分)</w:t>
            </w:r>
          </w:p>
        </w:tc>
        <w:tc>
          <w:tcPr>
            <w:tcW w:w="6480" w:type="dxa"/>
            <w:vAlign w:val="center"/>
          </w:tcPr>
          <w:p w14:paraId="196C14F0">
            <w:pPr>
              <w:pStyle w:val="17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 w:firstLine="480" w:firstLineChars="20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明确本次维修的修复标准、配件质量、调试校验基础保障，可确保设备正常稳定运行得10-13分；有基础质量保障措施、内容较简单得5-9分；无任何质量保障说明得1-4分；未提供不得分。</w:t>
            </w:r>
          </w:p>
        </w:tc>
      </w:tr>
      <w:tr w14:paraId="0838A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</w:trPr>
        <w:tc>
          <w:tcPr>
            <w:tcW w:w="1304" w:type="dxa"/>
            <w:vMerge w:val="continue"/>
            <w:textDirection w:val="tbRlV"/>
            <w:vAlign w:val="center"/>
          </w:tcPr>
          <w:p w14:paraId="2A9700B4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360" w:lineRule="auto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5EC45883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应急保障</w:t>
            </w:r>
          </w:p>
          <w:p w14:paraId="6713A91D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.0分)</w:t>
            </w:r>
          </w:p>
        </w:tc>
        <w:tc>
          <w:tcPr>
            <w:tcW w:w="6480" w:type="dxa"/>
            <w:vAlign w:val="center"/>
          </w:tcPr>
          <w:p w14:paraId="45501F40">
            <w:pPr>
              <w:pStyle w:val="17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 w:firstLine="480" w:firstLineChars="20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明确维修工期、简易施工规范，同时具备基础停机应急处理方式，不影响科室常规工作得10-13分；有基础工期说明、应急措施简单得5-9分；无工期及应急相关内容得1-4分；未提供不得分。</w:t>
            </w:r>
          </w:p>
        </w:tc>
      </w:tr>
      <w:tr w14:paraId="3C659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Merge w:val="restart"/>
            <w:textDirection w:val="tbRlV"/>
            <w:vAlign w:val="center"/>
          </w:tcPr>
          <w:p w14:paraId="59C4A4FE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360" w:lineRule="auto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商务部分</w:t>
            </w:r>
          </w:p>
        </w:tc>
        <w:tc>
          <w:tcPr>
            <w:tcW w:w="2143" w:type="dxa"/>
            <w:vAlign w:val="center"/>
          </w:tcPr>
          <w:p w14:paraId="3ABE41E2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售后服务</w:t>
            </w:r>
          </w:p>
          <w:p w14:paraId="77ECF79E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.0分)</w:t>
            </w:r>
          </w:p>
        </w:tc>
        <w:tc>
          <w:tcPr>
            <w:tcW w:w="6480" w:type="dxa"/>
            <w:vAlign w:val="center"/>
          </w:tcPr>
          <w:p w14:paraId="6D314F08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360" w:lineRule="auto"/>
              <w:ind w:lef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根据投标人售后响应速度、质保服务、技术保障等整体服务能力综合打分。售后保障完善，可提供基础技术支持的得16-20分；售后承诺齐全、能满足基本使用及售后需求的得9-15分；售后条款简单得1-8分；未提供售后服务承诺及方案的不得分。</w:t>
            </w:r>
            <w:bookmarkStart w:id="0" w:name="_GoBack"/>
            <w:bookmarkEnd w:id="0"/>
          </w:p>
        </w:tc>
      </w:tr>
      <w:tr w14:paraId="61EF5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304" w:type="dxa"/>
            <w:vMerge w:val="continue"/>
            <w:textDirection w:val="tbRlV"/>
            <w:vAlign w:val="center"/>
          </w:tcPr>
          <w:p w14:paraId="7E5386D9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360" w:lineRule="auto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43" w:type="dxa"/>
            <w:vAlign w:val="center"/>
          </w:tcPr>
          <w:p w14:paraId="55BDECD8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同类业绩</w:t>
            </w:r>
          </w:p>
          <w:p w14:paraId="06DCB4EC">
            <w:pPr>
              <w:widowControl w:val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（5.0分）</w:t>
            </w:r>
          </w:p>
        </w:tc>
        <w:tc>
          <w:tcPr>
            <w:tcW w:w="6480" w:type="dxa"/>
            <w:vAlign w:val="center"/>
          </w:tcPr>
          <w:p w14:paraId="7ACF6F93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360" w:lineRule="auto"/>
              <w:ind w:lef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评审投标人近3年内（自投标截止之日倒算）各类医疗检验设备维修、维保服务业绩，每提供1份真实有效的医疗检验设备维修/维保合同及验收佐证材料得2分；最高得5分。</w:t>
            </w:r>
          </w:p>
        </w:tc>
      </w:tr>
      <w:tr w14:paraId="636C3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04" w:type="dxa"/>
            <w:vMerge w:val="continue"/>
            <w:textDirection w:val="tbRlV"/>
            <w:vAlign w:val="center"/>
          </w:tcPr>
          <w:p w14:paraId="444644F6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360" w:lineRule="auto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43" w:type="dxa"/>
            <w:vAlign w:val="center"/>
          </w:tcPr>
          <w:p w14:paraId="3B98B33C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服务承诺</w:t>
            </w:r>
          </w:p>
          <w:p w14:paraId="4E90DA55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（5.0分）</w:t>
            </w:r>
          </w:p>
        </w:tc>
        <w:tc>
          <w:tcPr>
            <w:tcW w:w="6480" w:type="dxa"/>
            <w:vAlign w:val="center"/>
          </w:tcPr>
          <w:p w14:paraId="685AB4DB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360" w:lineRule="auto"/>
              <w:ind w:left="0"/>
              <w:jc w:val="left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根据投标人为本项目提供的履约保障、应急服务、便民增值服务、承诺完善、包含应急处置、免费巡检校准、无隐形收费及违约保障等承诺内容打分。</w:t>
            </w:r>
          </w:p>
        </w:tc>
      </w:tr>
      <w:tr w14:paraId="32A1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04" w:type="dxa"/>
            <w:textDirection w:val="tbRlV"/>
            <w:vAlign w:val="center"/>
          </w:tcPr>
          <w:p w14:paraId="41597BA0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360" w:lineRule="auto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价格部分</w:t>
            </w:r>
          </w:p>
        </w:tc>
        <w:tc>
          <w:tcPr>
            <w:tcW w:w="2143" w:type="dxa"/>
            <w:vAlign w:val="center"/>
          </w:tcPr>
          <w:p w14:paraId="0620F094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投标报价得分</w:t>
            </w:r>
          </w:p>
          <w:p w14:paraId="6DCE53B9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0.0分)</w:t>
            </w:r>
          </w:p>
        </w:tc>
        <w:tc>
          <w:tcPr>
            <w:tcW w:w="6480" w:type="dxa"/>
            <w:vAlign w:val="center"/>
          </w:tcPr>
          <w:p w14:paraId="4F0A5A62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36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投标报价得分＝（评标基准价/投标报价）×价格分值【注：满足招标文件要求且投标价格最低的投标报价为评标基准价。】最低报价不是中标的唯一依据。因落实政府采购政策进行价格调整的，以调整后的价格计算评标基准价和投标报价。</w:t>
            </w:r>
          </w:p>
        </w:tc>
      </w:tr>
    </w:tbl>
    <w:p w14:paraId="07802E80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sectPr>
      <w:footerReference r:id="rId5" w:type="default"/>
      <w:pgSz w:w="11900" w:h="16840"/>
      <w:pgMar w:top="1440" w:right="1080" w:bottom="1440" w:left="1080" w:header="850" w:footer="850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ECE30">
    <w:pPr>
      <w:spacing w:line="173" w:lineRule="auto"/>
      <w:ind w:left="4415"/>
      <w:rPr>
        <w:rFonts w:ascii="Lucida Sans Unicode" w:hAnsi="Lucida Sans Unicode" w:eastAsia="Lucida Sans Unicode" w:cs="Lucida Sans Unicode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2" name="文本框 1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48F5E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LOZRm0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348F5E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2BA21E0"/>
    <w:rsid w:val="04ED23F9"/>
    <w:rsid w:val="063E7632"/>
    <w:rsid w:val="071D7ECD"/>
    <w:rsid w:val="0E727478"/>
    <w:rsid w:val="0E7532C7"/>
    <w:rsid w:val="0EF01271"/>
    <w:rsid w:val="1262046D"/>
    <w:rsid w:val="161D1B07"/>
    <w:rsid w:val="170A5E79"/>
    <w:rsid w:val="18CA6897"/>
    <w:rsid w:val="1939138F"/>
    <w:rsid w:val="1A0A171C"/>
    <w:rsid w:val="1B1C1F8D"/>
    <w:rsid w:val="1B9B6989"/>
    <w:rsid w:val="1BE834C2"/>
    <w:rsid w:val="1CB5269E"/>
    <w:rsid w:val="1CE614CE"/>
    <w:rsid w:val="1EB67C69"/>
    <w:rsid w:val="203A6C53"/>
    <w:rsid w:val="20763D63"/>
    <w:rsid w:val="214C3DA9"/>
    <w:rsid w:val="23992A22"/>
    <w:rsid w:val="25635DDE"/>
    <w:rsid w:val="278C2D5B"/>
    <w:rsid w:val="28CB1C76"/>
    <w:rsid w:val="2906152F"/>
    <w:rsid w:val="2A303464"/>
    <w:rsid w:val="2E3B38CD"/>
    <w:rsid w:val="2EEB70FA"/>
    <w:rsid w:val="2F1E3402"/>
    <w:rsid w:val="2F396072"/>
    <w:rsid w:val="2F8543D0"/>
    <w:rsid w:val="323416B0"/>
    <w:rsid w:val="3B1E7320"/>
    <w:rsid w:val="3E247684"/>
    <w:rsid w:val="3E891645"/>
    <w:rsid w:val="3F4D773D"/>
    <w:rsid w:val="413E207F"/>
    <w:rsid w:val="421A3B26"/>
    <w:rsid w:val="42792EE9"/>
    <w:rsid w:val="43E61B91"/>
    <w:rsid w:val="458F793F"/>
    <w:rsid w:val="47396D1F"/>
    <w:rsid w:val="4B173452"/>
    <w:rsid w:val="4B2A1A86"/>
    <w:rsid w:val="4B6E0F4A"/>
    <w:rsid w:val="4D066034"/>
    <w:rsid w:val="4E427657"/>
    <w:rsid w:val="4FEB46A2"/>
    <w:rsid w:val="504510E6"/>
    <w:rsid w:val="51886CB3"/>
    <w:rsid w:val="53BB4B14"/>
    <w:rsid w:val="53BD07B5"/>
    <w:rsid w:val="53ED5ABA"/>
    <w:rsid w:val="56832730"/>
    <w:rsid w:val="5A2455F8"/>
    <w:rsid w:val="5C0C497F"/>
    <w:rsid w:val="5F860D22"/>
    <w:rsid w:val="611E567E"/>
    <w:rsid w:val="61821092"/>
    <w:rsid w:val="646B72B1"/>
    <w:rsid w:val="66186A5F"/>
    <w:rsid w:val="6A0F309B"/>
    <w:rsid w:val="6AC5685E"/>
    <w:rsid w:val="6B234128"/>
    <w:rsid w:val="70F85C81"/>
    <w:rsid w:val="722A4FD9"/>
    <w:rsid w:val="7375655F"/>
    <w:rsid w:val="75C61632"/>
    <w:rsid w:val="75F778F0"/>
    <w:rsid w:val="774F5AE2"/>
    <w:rsid w:val="777F2499"/>
    <w:rsid w:val="7817392B"/>
    <w:rsid w:val="79D16A76"/>
    <w:rsid w:val="7F1731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widowControl w:val="0"/>
      <w:wordWrap w:val="0"/>
      <w:topLinePunct/>
      <w:spacing w:before="0" w:after="0" w:line="360" w:lineRule="auto"/>
      <w:jc w:val="center"/>
      <w:outlineLvl w:val="0"/>
    </w:pPr>
    <w:rPr>
      <w:rFonts w:ascii="宋体" w:hAnsi="宋体" w:eastAsia="宋体" w:cstheme="minorBidi"/>
      <w:b/>
      <w:sz w:val="28"/>
      <w:szCs w:val="22"/>
    </w:rPr>
  </w:style>
  <w:style w:type="paragraph" w:styleId="3">
    <w:name w:val="heading 2"/>
    <w:next w:val="1"/>
    <w:unhideWhenUsed/>
    <w:qFormat/>
    <w:uiPriority w:val="0"/>
    <w:pPr>
      <w:widowControl w:val="0"/>
      <w:wordWrap w:val="0"/>
      <w:topLinePunct/>
      <w:spacing w:before="0" w:after="0" w:line="360" w:lineRule="auto"/>
      <w:jc w:val="center"/>
      <w:outlineLvl w:val="1"/>
    </w:pPr>
    <w:rPr>
      <w:rFonts w:ascii="宋体" w:hAnsi="宋体" w:eastAsia="宋体" w:cstheme="minorBidi"/>
      <w:b/>
      <w:sz w:val="28"/>
      <w:szCs w:val="22"/>
    </w:rPr>
  </w:style>
  <w:style w:type="paragraph" w:styleId="4">
    <w:name w:val="heading 3"/>
    <w:basedOn w:val="1"/>
    <w:next w:val="5"/>
    <w:qFormat/>
    <w:uiPriority w:val="1"/>
    <w:pPr>
      <w:ind w:left="106"/>
      <w:outlineLvl w:val="3"/>
    </w:pPr>
    <w:rPr>
      <w:rFonts w:ascii="宋体" w:hAnsi="宋体" w:eastAsia="宋体" w:cs="宋体"/>
      <w:sz w:val="21"/>
      <w:szCs w:val="21"/>
      <w:lang w:val="zh-CN" w:eastAsia="zh-CN" w:bidi="zh-CN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771CAA"/>
      <w:u w:val="none"/>
      <w:bdr w:val="single" w:color="DDDDDD" w:sz="6" w:space="0"/>
    </w:rPr>
  </w:style>
  <w:style w:type="character" w:styleId="13">
    <w:name w:val="Emphasis"/>
    <w:basedOn w:val="11"/>
    <w:qFormat/>
    <w:uiPriority w:val="0"/>
    <w:rPr>
      <w:color w:val="F73131"/>
    </w:rPr>
  </w:style>
  <w:style w:type="character" w:styleId="14">
    <w:name w:val="Hyperlink"/>
    <w:basedOn w:val="11"/>
    <w:qFormat/>
    <w:uiPriority w:val="0"/>
    <w:rPr>
      <w:color w:val="2440B3"/>
      <w:u w:val="none"/>
    </w:rPr>
  </w:style>
  <w:style w:type="character" w:styleId="15">
    <w:name w:val="HTML Cite"/>
    <w:basedOn w:val="11"/>
    <w:qFormat/>
    <w:uiPriority w:val="0"/>
    <w:rPr>
      <w:color w:val="008000"/>
    </w:rPr>
  </w:style>
  <w:style w:type="table" w:customStyle="1" w:styleId="1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paragraph" w:customStyle="1" w:styleId="18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  <w:style w:type="paragraph" w:customStyle="1" w:styleId="19">
    <w:name w:val="管理正文"/>
    <w:basedOn w:val="1"/>
    <w:autoRedefine/>
    <w:qFormat/>
    <w:uiPriority w:val="0"/>
    <w:pPr>
      <w:spacing w:line="360" w:lineRule="auto"/>
      <w:ind w:firstLine="431"/>
    </w:pPr>
    <w:rPr>
      <w:rFonts w:ascii="Times New Roman" w:hAnsi="Times New Roman"/>
      <w:sz w:val="24"/>
      <w:szCs w:val="24"/>
    </w:rPr>
  </w:style>
  <w:style w:type="character" w:customStyle="1" w:styleId="20">
    <w:name w:val="c-icon"/>
    <w:basedOn w:val="11"/>
    <w:qFormat/>
    <w:uiPriority w:val="0"/>
  </w:style>
  <w:style w:type="character" w:customStyle="1" w:styleId="21">
    <w:name w:val="hover"/>
    <w:basedOn w:val="11"/>
    <w:qFormat/>
    <w:uiPriority w:val="0"/>
  </w:style>
  <w:style w:type="character" w:customStyle="1" w:styleId="22">
    <w:name w:val="hover1"/>
    <w:basedOn w:val="11"/>
    <w:qFormat/>
    <w:uiPriority w:val="0"/>
    <w:rPr>
      <w:color w:val="315EFB"/>
    </w:rPr>
  </w:style>
  <w:style w:type="character" w:customStyle="1" w:styleId="23">
    <w:name w:val="hover2"/>
    <w:basedOn w:val="11"/>
    <w:qFormat/>
    <w:uiPriority w:val="0"/>
    <w:rPr>
      <w:color w:val="335BFF"/>
    </w:rPr>
  </w:style>
  <w:style w:type="character" w:customStyle="1" w:styleId="24">
    <w:name w:val="hover3"/>
    <w:basedOn w:val="11"/>
    <w:qFormat/>
    <w:uiPriority w:val="0"/>
  </w:style>
  <w:style w:type="character" w:customStyle="1" w:styleId="25">
    <w:name w:val="hover4"/>
    <w:basedOn w:val="11"/>
    <w:qFormat/>
    <w:uiPriority w:val="0"/>
    <w:rPr>
      <w:color w:val="315EFB"/>
    </w:rPr>
  </w:style>
  <w:style w:type="character" w:customStyle="1" w:styleId="26">
    <w:name w:val="name"/>
    <w:basedOn w:val="11"/>
    <w:qFormat/>
    <w:uiPriority w:val="0"/>
    <w:rPr>
      <w:color w:val="1E1F24"/>
    </w:rPr>
  </w:style>
  <w:style w:type="character" w:customStyle="1" w:styleId="27">
    <w:name w:val="hover25"/>
    <w:basedOn w:val="11"/>
    <w:qFormat/>
    <w:uiPriority w:val="0"/>
    <w:rPr>
      <w:color w:val="335BFF"/>
    </w:rPr>
  </w:style>
  <w:style w:type="character" w:customStyle="1" w:styleId="28">
    <w:name w:val="hover26"/>
    <w:basedOn w:val="11"/>
    <w:qFormat/>
    <w:uiPriority w:val="0"/>
  </w:style>
  <w:style w:type="character" w:customStyle="1" w:styleId="29">
    <w:name w:val="hover27"/>
    <w:basedOn w:val="11"/>
    <w:qFormat/>
    <w:uiPriority w:val="0"/>
    <w:rPr>
      <w:color w:val="315EFB"/>
    </w:rPr>
  </w:style>
  <w:style w:type="character" w:customStyle="1" w:styleId="30">
    <w:name w:val="hover28"/>
    <w:basedOn w:val="11"/>
    <w:qFormat/>
    <w:uiPriority w:val="0"/>
  </w:style>
  <w:style w:type="character" w:customStyle="1" w:styleId="31">
    <w:name w:val="hover29"/>
    <w:basedOn w:val="11"/>
    <w:qFormat/>
    <w:uiPriority w:val="0"/>
    <w:rPr>
      <w:color w:val="315EFB"/>
    </w:rPr>
  </w:style>
  <w:style w:type="character" w:customStyle="1" w:styleId="32">
    <w:name w:val="c-icon28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753</Words>
  <Characters>824</Characters>
  <Lines>0</Lines>
  <Paragraphs>0</Paragraphs>
  <TotalTime>28</TotalTime>
  <ScaleCrop>false</ScaleCrop>
  <LinksUpToDate>false</LinksUpToDate>
  <CharactersWithSpaces>824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2024-05-16T07:00:00Z</dcterms:created>
  <dc:creator>甘美</dc:creator>
  <cp:lastModifiedBy>Administrator</cp:lastModifiedBy>
  <cp:lastPrinted>2026-05-11T06:23:00Z</cp:lastPrinted>
  <dcterms:modified xsi:type="dcterms:W3CDTF">2026-07-31T01:07:20Z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2024-05-18T08:58:00Z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E31EBDB7635845CDAF36BF707AD0402D_13</vt:lpwstr>
  </property>
  <property fmtid="{D5CDD505-2E9C-101B-9397-08002B2CF9AE}" pid="6" name="KSOTemplateDocerSaveRecord">
    <vt:lpwstr>eyJoZGlkIjoiMDA5MDM1NDc3NWZlOWUyYTJiMzg5MTBjNDU5ZjAzYzQifQ==</vt:lpwstr>
  </property>
</Properties>
</file>