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03A993">
      <w:pPr>
        <w:rPr>
          <w:rStyle w:val="5"/>
          <w:rFonts w:hint="eastAsia" w:ascii="方正小标宋_GBK" w:hAnsi="方正小标宋_GBK" w:eastAsia="方正小标宋_GBK" w:cs="方正小标宋_GBK"/>
          <w:b/>
          <w:bCs/>
          <w:i w:val="0"/>
          <w:iCs w:val="0"/>
          <w:caps w:val="0"/>
          <w:color w:val="333333"/>
          <w:spacing w:val="-11"/>
          <w:w w:val="90"/>
          <w:sz w:val="44"/>
          <w:szCs w:val="44"/>
          <w:shd w:val="clear" w:fill="FFFFFF"/>
          <w:lang w:eastAsia="zh-CN"/>
        </w:rPr>
      </w:pPr>
      <w:r>
        <w:rPr>
          <w:rStyle w:val="5"/>
          <w:rFonts w:hint="eastAsia" w:ascii="方正小标宋_GBK" w:hAnsi="方正小标宋_GBK" w:eastAsia="方正小标宋_GBK" w:cs="方正小标宋_GBK"/>
          <w:b/>
          <w:bCs/>
          <w:i w:val="0"/>
          <w:iCs w:val="0"/>
          <w:caps w:val="0"/>
          <w:color w:val="333333"/>
          <w:spacing w:val="-11"/>
          <w:w w:val="90"/>
          <w:sz w:val="44"/>
          <w:szCs w:val="44"/>
          <w:shd w:val="clear" w:fill="FFFFFF"/>
          <w:lang w:eastAsia="zh-CN"/>
        </w:rPr>
        <w:t>呼伦贝尔市第二人民医院（呼伦贝尔市传染病医院）</w:t>
      </w:r>
    </w:p>
    <w:p w14:paraId="0FFF2386">
      <w:pPr>
        <w:jc w:val="center"/>
        <w:rPr>
          <w:rStyle w:val="5"/>
          <w:rFonts w:hint="eastAsia" w:ascii="方正小标宋_GBK" w:hAnsi="方正小标宋_GBK" w:eastAsia="方正小标宋_GBK" w:cs="方正小标宋_GBK"/>
          <w:b/>
          <w:bCs/>
          <w:i w:val="0"/>
          <w:iCs w:val="0"/>
          <w:caps w:val="0"/>
          <w:color w:val="333333"/>
          <w:spacing w:val="-11"/>
          <w:w w:val="90"/>
          <w:sz w:val="44"/>
          <w:szCs w:val="44"/>
          <w:shd w:val="clear" w:fill="FFFFFF"/>
          <w:lang w:eastAsia="zh-CN"/>
        </w:rPr>
      </w:pPr>
      <w:r>
        <w:rPr>
          <w:rStyle w:val="5"/>
          <w:rFonts w:hint="eastAsia" w:ascii="方正小标宋_GBK" w:hAnsi="方正小标宋_GBK" w:eastAsia="方正小标宋_GBK" w:cs="方正小标宋_GBK"/>
          <w:b/>
          <w:bCs/>
          <w:i w:val="0"/>
          <w:iCs w:val="0"/>
          <w:caps w:val="0"/>
          <w:color w:val="333333"/>
          <w:spacing w:val="-11"/>
          <w:w w:val="90"/>
          <w:sz w:val="44"/>
          <w:szCs w:val="44"/>
          <w:shd w:val="clear" w:fill="FFFFFF"/>
          <w:lang w:eastAsia="zh-CN"/>
        </w:rPr>
        <w:t>内控招标文件</w:t>
      </w:r>
    </w:p>
    <w:p w14:paraId="10C3DF39">
      <w:pPr>
        <w:jc w:val="center"/>
        <w:rPr>
          <w:rStyle w:val="5"/>
          <w:rFonts w:hint="eastAsia" w:ascii="方正小标宋_GBK" w:hAnsi="方正小标宋_GBK" w:eastAsia="方正小标宋_GBK" w:cs="方正小标宋_GBK"/>
          <w:b/>
          <w:bCs/>
          <w:i w:val="0"/>
          <w:iCs w:val="0"/>
          <w:caps w:val="0"/>
          <w:color w:val="333333"/>
          <w:spacing w:val="-11"/>
          <w:w w:val="90"/>
          <w:sz w:val="44"/>
          <w:szCs w:val="44"/>
          <w:shd w:val="clear" w:fill="FFFFFF"/>
          <w:lang w:eastAsia="zh-CN"/>
        </w:rPr>
      </w:pPr>
    </w:p>
    <w:p w14:paraId="4F3764CA">
      <w:pPr>
        <w:jc w:val="left"/>
        <w:rPr>
          <w:rFonts w:hint="eastAsia" w:ascii="仿宋" w:hAnsi="仿宋" w:eastAsia="仿宋" w:cs="仿宋"/>
          <w:i w:val="0"/>
          <w:iCs w:val="0"/>
          <w:caps w:val="0"/>
          <w:color w:val="000000"/>
          <w:spacing w:val="0"/>
          <w:sz w:val="32"/>
          <w:szCs w:val="32"/>
          <w:shd w:val="clear" w:fill="FFFFFF"/>
          <w:lang w:val="en-US" w:eastAsia="zh-CN"/>
        </w:rPr>
      </w:pPr>
      <w:r>
        <w:rPr>
          <w:rStyle w:val="5"/>
          <w:rFonts w:hint="eastAsia" w:ascii="仿宋" w:hAnsi="仿宋" w:eastAsia="仿宋" w:cs="仿宋"/>
          <w:b w:val="0"/>
          <w:bCs w:val="0"/>
          <w:i w:val="0"/>
          <w:iCs w:val="0"/>
          <w:caps w:val="0"/>
          <w:color w:val="333333"/>
          <w:spacing w:val="-11"/>
          <w:w w:val="100"/>
          <w:sz w:val="32"/>
          <w:szCs w:val="32"/>
          <w:shd w:val="clear" w:fill="FFFFFF"/>
          <w:lang w:val="en-US" w:eastAsia="zh-CN"/>
        </w:rPr>
        <w:t>项目名称：</w:t>
      </w:r>
      <w:r>
        <w:rPr>
          <w:rStyle w:val="5"/>
          <w:rFonts w:hint="eastAsia" w:ascii="仿宋" w:hAnsi="仿宋" w:eastAsia="仿宋" w:cs="仿宋"/>
          <w:b w:val="0"/>
          <w:bCs w:val="0"/>
          <w:i w:val="0"/>
          <w:iCs w:val="0"/>
          <w:caps w:val="0"/>
          <w:color w:val="333333"/>
          <w:spacing w:val="-11"/>
          <w:w w:val="100"/>
          <w:sz w:val="32"/>
          <w:szCs w:val="32"/>
          <w:shd w:val="clear" w:fill="FFFFFF"/>
          <w:lang w:val="en-US" w:eastAsia="zh-CN"/>
        </w:rPr>
        <w:tab/>
      </w:r>
      <w:r>
        <w:rPr>
          <w:rFonts w:hint="eastAsia" w:ascii="仿宋" w:hAnsi="仿宋" w:eastAsia="仿宋" w:cs="仿宋"/>
          <w:i w:val="0"/>
          <w:iCs w:val="0"/>
          <w:caps w:val="0"/>
          <w:color w:val="000000"/>
          <w:spacing w:val="0"/>
          <w:sz w:val="32"/>
          <w:szCs w:val="32"/>
          <w:shd w:val="clear" w:fill="FFFFFF"/>
          <w:lang w:val="en-US" w:eastAsia="zh-CN"/>
        </w:rPr>
        <w:t>呼伦贝尔市第二人民医院（呼伦贝尔市传染病医院）监控系统配件定点商店采购项目</w:t>
      </w:r>
    </w:p>
    <w:p w14:paraId="3E77FC3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jc w:val="left"/>
        <w:rPr>
          <w:rFonts w:hint="eastAsia" w:ascii="仿宋" w:hAnsi="仿宋" w:eastAsia="仿宋" w:cs="仿宋"/>
          <w:i w:val="0"/>
          <w:iCs w:val="0"/>
          <w:caps w:val="0"/>
          <w:color w:val="000000"/>
          <w:spacing w:val="0"/>
          <w:sz w:val="32"/>
          <w:szCs w:val="32"/>
          <w:shd w:val="clear" w:fill="FFFFFF"/>
          <w:lang w:val="en-US" w:eastAsia="zh-CN"/>
        </w:rPr>
      </w:pPr>
      <w:r>
        <w:rPr>
          <w:rFonts w:hint="eastAsia" w:ascii="仿宋" w:hAnsi="仿宋" w:eastAsia="仿宋" w:cs="仿宋"/>
          <w:i w:val="0"/>
          <w:iCs w:val="0"/>
          <w:caps w:val="0"/>
          <w:color w:val="000000"/>
          <w:spacing w:val="0"/>
          <w:sz w:val="32"/>
          <w:szCs w:val="32"/>
          <w:shd w:val="clear" w:fill="FFFFFF"/>
          <w:lang w:val="en-US" w:eastAsia="zh-CN"/>
        </w:rPr>
        <w:t>项目编号：</w:t>
      </w:r>
      <w:r>
        <w:rPr>
          <w:rFonts w:hint="eastAsia" w:ascii="仿宋" w:hAnsi="仿宋" w:eastAsia="仿宋" w:cs="仿宋"/>
          <w:i w:val="0"/>
          <w:iCs w:val="0"/>
          <w:caps w:val="0"/>
          <w:color w:val="000000"/>
          <w:spacing w:val="0"/>
          <w:sz w:val="32"/>
          <w:szCs w:val="32"/>
          <w:shd w:val="clear" w:fill="FFFFFF"/>
          <w:lang w:eastAsia="zh-CN"/>
        </w:rPr>
        <w:t>项目编号：</w:t>
      </w:r>
      <w:r>
        <w:rPr>
          <w:rFonts w:hint="eastAsia" w:ascii="仿宋" w:hAnsi="仿宋" w:eastAsia="仿宋" w:cs="仿宋"/>
          <w:i w:val="0"/>
          <w:iCs w:val="0"/>
          <w:caps w:val="0"/>
          <w:color w:val="000000"/>
          <w:spacing w:val="0"/>
          <w:sz w:val="32"/>
          <w:szCs w:val="32"/>
          <w:shd w:val="clear" w:fill="FFFFFF"/>
          <w:lang w:val="en-US" w:eastAsia="zh-CN"/>
        </w:rPr>
        <w:t>CRBYY-2026-NK04</w:t>
      </w:r>
    </w:p>
    <w:p w14:paraId="0B5E149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jc w:val="center"/>
        <w:rPr>
          <w:rFonts w:hint="eastAsia" w:ascii="宋体" w:hAnsi="宋体" w:eastAsia="宋体" w:cs="宋体"/>
          <w:i w:val="0"/>
          <w:iCs w:val="0"/>
          <w:caps w:val="0"/>
          <w:color w:val="000000"/>
          <w:spacing w:val="0"/>
          <w:sz w:val="28"/>
          <w:szCs w:val="28"/>
          <w:shd w:val="clear" w:fill="FFFFFF"/>
          <w:lang w:val="en-US" w:eastAsia="zh-CN"/>
        </w:rPr>
      </w:pPr>
    </w:p>
    <w:p w14:paraId="54F3C70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jc w:val="center"/>
        <w:rPr>
          <w:rFonts w:hint="eastAsia" w:ascii="宋体" w:hAnsi="宋体" w:eastAsia="宋体" w:cs="宋体"/>
          <w:i w:val="0"/>
          <w:iCs w:val="0"/>
          <w:caps w:val="0"/>
          <w:color w:val="000000"/>
          <w:spacing w:val="0"/>
          <w:sz w:val="28"/>
          <w:szCs w:val="28"/>
          <w:shd w:val="clear" w:fill="FFFFFF"/>
          <w:lang w:val="en-US" w:eastAsia="zh-CN"/>
        </w:rPr>
      </w:pPr>
    </w:p>
    <w:p w14:paraId="1D92B23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jc w:val="center"/>
        <w:rPr>
          <w:rFonts w:hint="eastAsia" w:ascii="宋体" w:hAnsi="宋体" w:eastAsia="宋体" w:cs="宋体"/>
          <w:i w:val="0"/>
          <w:iCs w:val="0"/>
          <w:caps w:val="0"/>
          <w:color w:val="000000"/>
          <w:spacing w:val="0"/>
          <w:sz w:val="28"/>
          <w:szCs w:val="28"/>
          <w:shd w:val="clear" w:fill="FFFFFF"/>
          <w:lang w:val="en-US" w:eastAsia="zh-CN"/>
        </w:rPr>
      </w:pPr>
    </w:p>
    <w:p w14:paraId="0084F30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jc w:val="center"/>
        <w:rPr>
          <w:rFonts w:hint="eastAsia" w:ascii="宋体" w:hAnsi="宋体" w:eastAsia="宋体" w:cs="宋体"/>
          <w:i w:val="0"/>
          <w:iCs w:val="0"/>
          <w:caps w:val="0"/>
          <w:color w:val="000000"/>
          <w:spacing w:val="0"/>
          <w:sz w:val="28"/>
          <w:szCs w:val="28"/>
          <w:shd w:val="clear" w:fill="FFFFFF"/>
          <w:lang w:val="en-US" w:eastAsia="zh-CN"/>
        </w:rPr>
      </w:pPr>
    </w:p>
    <w:p w14:paraId="0B5B41F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jc w:val="center"/>
        <w:rPr>
          <w:rFonts w:hint="eastAsia" w:ascii="宋体" w:hAnsi="宋体" w:eastAsia="宋体" w:cs="宋体"/>
          <w:i w:val="0"/>
          <w:iCs w:val="0"/>
          <w:caps w:val="0"/>
          <w:color w:val="000000"/>
          <w:spacing w:val="0"/>
          <w:sz w:val="28"/>
          <w:szCs w:val="28"/>
          <w:shd w:val="clear" w:fill="FFFFFF"/>
          <w:lang w:val="en-US" w:eastAsia="zh-CN"/>
        </w:rPr>
      </w:pPr>
    </w:p>
    <w:p w14:paraId="7A254FF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jc w:val="center"/>
        <w:rPr>
          <w:rFonts w:hint="eastAsia" w:ascii="宋体" w:hAnsi="宋体" w:eastAsia="宋体" w:cs="宋体"/>
          <w:i w:val="0"/>
          <w:iCs w:val="0"/>
          <w:caps w:val="0"/>
          <w:color w:val="000000"/>
          <w:spacing w:val="0"/>
          <w:sz w:val="28"/>
          <w:szCs w:val="28"/>
          <w:shd w:val="clear" w:fill="FFFFFF"/>
          <w:lang w:val="en-US" w:eastAsia="zh-CN"/>
        </w:rPr>
      </w:pPr>
    </w:p>
    <w:p w14:paraId="21343E6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jc w:val="center"/>
        <w:rPr>
          <w:rFonts w:hint="eastAsia" w:ascii="宋体" w:hAnsi="宋体" w:eastAsia="宋体" w:cs="宋体"/>
          <w:i w:val="0"/>
          <w:iCs w:val="0"/>
          <w:caps w:val="0"/>
          <w:color w:val="000000"/>
          <w:spacing w:val="0"/>
          <w:sz w:val="28"/>
          <w:szCs w:val="28"/>
          <w:shd w:val="clear" w:fill="FFFFFF"/>
          <w:lang w:val="en-US" w:eastAsia="zh-CN"/>
        </w:rPr>
      </w:pPr>
    </w:p>
    <w:p w14:paraId="3E2CCAC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jc w:val="center"/>
        <w:rPr>
          <w:rFonts w:hint="eastAsia" w:ascii="宋体" w:hAnsi="宋体" w:eastAsia="宋体" w:cs="宋体"/>
          <w:i w:val="0"/>
          <w:iCs w:val="0"/>
          <w:caps w:val="0"/>
          <w:color w:val="000000"/>
          <w:spacing w:val="0"/>
          <w:sz w:val="28"/>
          <w:szCs w:val="28"/>
          <w:shd w:val="clear" w:fill="FFFFFF"/>
          <w:lang w:val="en-US" w:eastAsia="zh-CN"/>
        </w:rPr>
      </w:pPr>
    </w:p>
    <w:p w14:paraId="6CBA259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jc w:val="center"/>
        <w:rPr>
          <w:rFonts w:hint="eastAsia" w:ascii="宋体" w:hAnsi="宋体" w:eastAsia="宋体" w:cs="宋体"/>
          <w:i w:val="0"/>
          <w:iCs w:val="0"/>
          <w:caps w:val="0"/>
          <w:color w:val="000000"/>
          <w:spacing w:val="0"/>
          <w:sz w:val="28"/>
          <w:szCs w:val="28"/>
          <w:shd w:val="clear" w:fill="FFFFFF"/>
          <w:lang w:val="en-US" w:eastAsia="zh-CN"/>
        </w:rPr>
      </w:pPr>
    </w:p>
    <w:p w14:paraId="113142E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jc w:val="center"/>
        <w:rPr>
          <w:rFonts w:hint="eastAsia" w:ascii="宋体" w:hAnsi="宋体" w:eastAsia="宋体" w:cs="宋体"/>
          <w:i w:val="0"/>
          <w:iCs w:val="0"/>
          <w:caps w:val="0"/>
          <w:color w:val="000000"/>
          <w:spacing w:val="0"/>
          <w:sz w:val="28"/>
          <w:szCs w:val="28"/>
          <w:shd w:val="clear" w:fill="FFFFFF"/>
          <w:lang w:val="en-US" w:eastAsia="zh-CN"/>
        </w:rPr>
      </w:pPr>
    </w:p>
    <w:p w14:paraId="75DAD2F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jc w:val="center"/>
        <w:rPr>
          <w:rFonts w:hint="eastAsia" w:ascii="宋体" w:hAnsi="宋体" w:eastAsia="宋体" w:cs="宋体"/>
          <w:i w:val="0"/>
          <w:iCs w:val="0"/>
          <w:caps w:val="0"/>
          <w:color w:val="000000"/>
          <w:spacing w:val="0"/>
          <w:sz w:val="28"/>
          <w:szCs w:val="28"/>
          <w:shd w:val="clear" w:fill="FFFFFF"/>
          <w:lang w:val="en-US" w:eastAsia="zh-CN"/>
        </w:rPr>
      </w:pPr>
    </w:p>
    <w:p w14:paraId="4AFD567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jc w:val="center"/>
        <w:rPr>
          <w:rFonts w:hint="eastAsia" w:ascii="仿宋" w:hAnsi="仿宋" w:eastAsia="仿宋" w:cs="仿宋"/>
          <w:i w:val="0"/>
          <w:iCs w:val="0"/>
          <w:caps w:val="0"/>
          <w:color w:val="000000"/>
          <w:spacing w:val="0"/>
          <w:sz w:val="32"/>
          <w:szCs w:val="32"/>
          <w:shd w:val="clear" w:fill="FFFFFF"/>
          <w:lang w:val="en-US" w:eastAsia="zh-CN"/>
        </w:rPr>
      </w:pPr>
      <w:r>
        <w:rPr>
          <w:rFonts w:hint="eastAsia" w:ascii="仿宋" w:hAnsi="仿宋" w:eastAsia="仿宋" w:cs="仿宋"/>
          <w:i w:val="0"/>
          <w:iCs w:val="0"/>
          <w:caps w:val="0"/>
          <w:color w:val="000000"/>
          <w:spacing w:val="0"/>
          <w:sz w:val="32"/>
          <w:szCs w:val="32"/>
          <w:shd w:val="clear" w:fill="FFFFFF"/>
          <w:lang w:val="en-US" w:eastAsia="zh-CN"/>
        </w:rPr>
        <w:t>2026年2月</w:t>
      </w:r>
    </w:p>
    <w:p w14:paraId="3FD5BA74">
      <w:pPr>
        <w:jc w:val="center"/>
        <w:rPr>
          <w:rFonts w:hint="default" w:asciiTheme="minorEastAsia" w:hAnsiTheme="minorEastAsia" w:cstheme="minorEastAsia"/>
          <w:i w:val="0"/>
          <w:iCs w:val="0"/>
          <w:caps w:val="0"/>
          <w:color w:val="000000"/>
          <w:spacing w:val="0"/>
          <w:sz w:val="24"/>
          <w:szCs w:val="24"/>
          <w:shd w:val="clear" w:fill="FFFFFF"/>
          <w:lang w:val="en-US" w:eastAsia="zh-CN"/>
        </w:rPr>
      </w:pPr>
    </w:p>
    <w:p w14:paraId="7D1524B6">
      <w:pPr>
        <w:jc w:val="center"/>
        <w:rPr>
          <w:rFonts w:hint="default" w:asciiTheme="minorEastAsia" w:hAnsiTheme="minorEastAsia" w:cstheme="minorEastAsia"/>
          <w:i w:val="0"/>
          <w:iCs w:val="0"/>
          <w:caps w:val="0"/>
          <w:color w:val="000000"/>
          <w:spacing w:val="0"/>
          <w:sz w:val="24"/>
          <w:szCs w:val="24"/>
          <w:shd w:val="clear" w:fill="FFFFFF"/>
          <w:lang w:val="en-US" w:eastAsia="zh-CN"/>
        </w:rPr>
      </w:pPr>
    </w:p>
    <w:p w14:paraId="0F7829C6">
      <w:pPr>
        <w:jc w:val="center"/>
        <w:rPr>
          <w:rFonts w:hint="default" w:asciiTheme="minorEastAsia" w:hAnsiTheme="minorEastAsia" w:cstheme="minorEastAsia"/>
          <w:i w:val="0"/>
          <w:iCs w:val="0"/>
          <w:caps w:val="0"/>
          <w:color w:val="000000"/>
          <w:spacing w:val="0"/>
          <w:sz w:val="24"/>
          <w:szCs w:val="24"/>
          <w:shd w:val="clear" w:fill="FFFFFF"/>
          <w:lang w:val="en-US" w:eastAsia="zh-CN"/>
        </w:rPr>
      </w:pPr>
    </w:p>
    <w:p w14:paraId="00C427C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方正小标宋_GBK" w:hAnsi="方正小标宋_GBK" w:eastAsia="方正小标宋_GBK" w:cs="方正小标宋_GBK"/>
          <w:b w:val="0"/>
          <w:bCs w:val="0"/>
          <w:kern w:val="2"/>
          <w:sz w:val="32"/>
          <w:szCs w:val="32"/>
          <w:lang w:val="en-US" w:eastAsia="zh-CN" w:bidi="ar-SA"/>
        </w:rPr>
      </w:pPr>
    </w:p>
    <w:p w14:paraId="531F7D5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bCs w:val="0"/>
          <w:sz w:val="44"/>
          <w:szCs w:val="44"/>
          <w:lang w:val="en-US" w:eastAsia="zh-CN"/>
        </w:rPr>
      </w:pPr>
      <w:r>
        <w:rPr>
          <w:rFonts w:hint="eastAsia" w:ascii="方正小标宋_GBK" w:hAnsi="方正小标宋_GBK" w:eastAsia="方正小标宋_GBK" w:cs="方正小标宋_GBK"/>
          <w:b w:val="0"/>
          <w:bCs w:val="0"/>
          <w:kern w:val="2"/>
          <w:sz w:val="44"/>
          <w:szCs w:val="44"/>
          <w:lang w:val="en-US" w:eastAsia="zh-CN" w:bidi="ar-SA"/>
        </w:rPr>
        <w:t xml:space="preserve">第一章 </w:t>
      </w:r>
      <w:r>
        <w:rPr>
          <w:rFonts w:hint="eastAsia" w:ascii="方正小标宋_GBK" w:hAnsi="方正小标宋_GBK" w:eastAsia="方正小标宋_GBK" w:cs="方正小标宋_GBK"/>
          <w:b w:val="0"/>
          <w:bCs w:val="0"/>
          <w:sz w:val="44"/>
          <w:szCs w:val="44"/>
          <w:lang w:val="en-US" w:eastAsia="zh-CN"/>
        </w:rPr>
        <w:t>投标邀请</w:t>
      </w:r>
    </w:p>
    <w:p w14:paraId="26B3DD0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公文小标宋" w:hAnsi="方正公文小标宋" w:eastAsia="方正公文小标宋" w:cs="方正公文小标宋"/>
          <w:b w:val="0"/>
          <w:bCs w:val="0"/>
          <w:sz w:val="32"/>
          <w:szCs w:val="32"/>
          <w:lang w:val="en-US" w:eastAsia="zh-CN"/>
        </w:rPr>
      </w:pPr>
    </w:p>
    <w:p w14:paraId="2AC74EA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呼伦贝尔市第二人民医院（呼伦贝尔市传染病医院）</w:t>
      </w:r>
      <w:r>
        <w:rPr>
          <w:rFonts w:hint="eastAsia" w:ascii="仿宋" w:hAnsi="仿宋" w:eastAsia="仿宋" w:cs="仿宋"/>
          <w:sz w:val="32"/>
          <w:szCs w:val="32"/>
        </w:rPr>
        <w:t>，采用公开招标方式组织采购</w:t>
      </w:r>
      <w:r>
        <w:rPr>
          <w:rFonts w:hint="eastAsia" w:ascii="仿宋" w:hAnsi="仿宋" w:eastAsia="仿宋" w:cs="仿宋"/>
          <w:sz w:val="32"/>
          <w:szCs w:val="32"/>
          <w:lang w:val="en-US" w:eastAsia="zh-CN"/>
        </w:rPr>
        <w:t>呼伦贝尔市第二人民医院（呼伦贝尔市传染病医院）监控系统配件定点商店</w:t>
      </w:r>
      <w:r>
        <w:rPr>
          <w:rFonts w:hint="eastAsia" w:ascii="仿宋" w:hAnsi="仿宋" w:eastAsia="仿宋" w:cs="仿宋"/>
          <w:i w:val="0"/>
          <w:iCs w:val="0"/>
          <w:caps w:val="0"/>
          <w:color w:val="000000"/>
          <w:spacing w:val="0"/>
          <w:sz w:val="32"/>
          <w:szCs w:val="32"/>
          <w:shd w:val="clear" w:fill="FFFFFF"/>
          <w:lang w:val="en-US" w:eastAsia="zh-CN"/>
        </w:rPr>
        <w:t>采购</w:t>
      </w:r>
      <w:r>
        <w:rPr>
          <w:rFonts w:hint="eastAsia" w:ascii="仿宋" w:hAnsi="仿宋" w:eastAsia="仿宋" w:cs="仿宋"/>
          <w:sz w:val="32"/>
          <w:szCs w:val="32"/>
        </w:rPr>
        <w:t>项目。欢迎符合资格条件的投标人参加投标。</w:t>
      </w:r>
    </w:p>
    <w:p w14:paraId="2666266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sz w:val="32"/>
          <w:szCs w:val="32"/>
        </w:rPr>
      </w:pPr>
      <w:r>
        <w:rPr>
          <w:rFonts w:hint="eastAsia" w:ascii="黑体" w:hAnsi="黑体" w:eastAsia="黑体" w:cs="黑体"/>
          <w:b w:val="0"/>
          <w:bCs w:val="0"/>
          <w:kern w:val="2"/>
          <w:sz w:val="32"/>
          <w:szCs w:val="32"/>
          <w:lang w:val="en-US" w:eastAsia="zh-CN" w:bidi="ar-SA"/>
        </w:rPr>
        <w:t>一.</w:t>
      </w:r>
      <w:r>
        <w:rPr>
          <w:rFonts w:hint="eastAsia" w:ascii="黑体" w:hAnsi="黑体" w:eastAsia="黑体" w:cs="黑体"/>
          <w:b w:val="0"/>
          <w:bCs w:val="0"/>
          <w:sz w:val="32"/>
          <w:szCs w:val="32"/>
        </w:rPr>
        <w:t xml:space="preserve">项目概述 </w:t>
      </w:r>
    </w:p>
    <w:p w14:paraId="345B19F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 xml:space="preserve">名称与编号 </w:t>
      </w:r>
    </w:p>
    <w:p w14:paraId="7C77322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项目名称：</w:t>
      </w:r>
      <w:r>
        <w:rPr>
          <w:rFonts w:hint="eastAsia" w:ascii="仿宋" w:hAnsi="仿宋" w:eastAsia="仿宋" w:cs="仿宋"/>
          <w:sz w:val="32"/>
          <w:szCs w:val="32"/>
          <w:lang w:val="en-US" w:eastAsia="zh-CN"/>
        </w:rPr>
        <w:t>呼伦贝尔市第二人民医院（呼伦贝尔市传染病医院）监控系统配件定点商店</w:t>
      </w:r>
      <w:r>
        <w:rPr>
          <w:rFonts w:hint="eastAsia" w:ascii="仿宋" w:hAnsi="仿宋" w:eastAsia="仿宋" w:cs="仿宋"/>
          <w:i w:val="0"/>
          <w:iCs w:val="0"/>
          <w:caps w:val="0"/>
          <w:color w:val="000000"/>
          <w:spacing w:val="0"/>
          <w:sz w:val="32"/>
          <w:szCs w:val="32"/>
          <w:shd w:val="clear" w:fill="FFFFFF"/>
          <w:lang w:val="en-US" w:eastAsia="zh-CN"/>
        </w:rPr>
        <w:t>采购</w:t>
      </w:r>
      <w:r>
        <w:rPr>
          <w:rFonts w:hint="eastAsia" w:ascii="仿宋" w:hAnsi="仿宋" w:eastAsia="仿宋" w:cs="仿宋"/>
          <w:sz w:val="32"/>
          <w:szCs w:val="32"/>
        </w:rPr>
        <w:t xml:space="preserve">项目  </w:t>
      </w:r>
    </w:p>
    <w:p w14:paraId="3237F82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i w:val="0"/>
          <w:iCs w:val="0"/>
          <w:caps w:val="0"/>
          <w:color w:val="000000"/>
          <w:spacing w:val="0"/>
          <w:sz w:val="32"/>
          <w:szCs w:val="32"/>
          <w:shd w:val="clear" w:fill="FFFFFF"/>
          <w:lang w:val="en-US" w:eastAsia="zh-CN"/>
        </w:rPr>
      </w:pPr>
      <w:r>
        <w:rPr>
          <w:rFonts w:hint="eastAsia" w:ascii="仿宋" w:hAnsi="仿宋" w:eastAsia="仿宋" w:cs="仿宋"/>
          <w:sz w:val="32"/>
          <w:szCs w:val="32"/>
        </w:rPr>
        <w:t>招标文件编号：</w:t>
      </w:r>
      <w:r>
        <w:rPr>
          <w:rFonts w:hint="eastAsia" w:ascii="仿宋" w:hAnsi="仿宋" w:eastAsia="仿宋" w:cs="仿宋"/>
          <w:i w:val="0"/>
          <w:iCs w:val="0"/>
          <w:caps w:val="0"/>
          <w:color w:val="000000"/>
          <w:spacing w:val="0"/>
          <w:sz w:val="32"/>
          <w:szCs w:val="32"/>
          <w:shd w:val="clear" w:fill="FFFFFF"/>
          <w:lang w:val="en-US" w:eastAsia="zh-CN"/>
        </w:rPr>
        <w:t>CRBYY-2026-NK04</w:t>
      </w:r>
    </w:p>
    <w:p w14:paraId="6C0650C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rPr>
        <w:t>内容及分包情况</w:t>
      </w:r>
      <w:r>
        <w:rPr>
          <w:rFonts w:hint="eastAsia" w:ascii="仿宋" w:hAnsi="仿宋" w:eastAsia="仿宋" w:cs="仿宋"/>
          <w:sz w:val="32"/>
          <w:szCs w:val="32"/>
          <w:lang w:eastAsia="zh-CN"/>
        </w:rPr>
        <w:t>：</w:t>
      </w:r>
      <w:r>
        <w:rPr>
          <w:rFonts w:hint="eastAsia" w:ascii="仿宋" w:hAnsi="仿宋" w:eastAsia="仿宋" w:cs="仿宋"/>
          <w:sz w:val="32"/>
          <w:szCs w:val="32"/>
        </w:rPr>
        <w:t>（技术规格、参数及要求）</w:t>
      </w:r>
      <w:r>
        <w:rPr>
          <w:rFonts w:hint="eastAsia" w:ascii="仿宋" w:hAnsi="仿宋" w:eastAsia="仿宋" w:cs="仿宋"/>
          <w:sz w:val="32"/>
          <w:szCs w:val="32"/>
          <w:lang w:eastAsia="zh-CN"/>
        </w:rPr>
        <w:t>见附</w:t>
      </w:r>
      <w:r>
        <w:rPr>
          <w:rFonts w:hint="eastAsia" w:ascii="仿宋" w:hAnsi="仿宋" w:eastAsia="仿宋" w:cs="仿宋"/>
          <w:sz w:val="32"/>
          <w:szCs w:val="32"/>
          <w:lang w:val="en-US" w:eastAsia="zh-CN"/>
        </w:rPr>
        <w:t>件</w:t>
      </w:r>
    </w:p>
    <w:p w14:paraId="212B6D6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 xml:space="preserve">二．投标人的资格要求 </w:t>
      </w:r>
    </w:p>
    <w:p w14:paraId="7AA4FE0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（一）符合中华人民共和国有关政府采购法第二十二条规定，具体内容如下：</w:t>
      </w:r>
    </w:p>
    <w:p w14:paraId="1DCA24B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1、具有独立承担民事责任的能力；</w:t>
      </w:r>
    </w:p>
    <w:p w14:paraId="60D1586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2、具有良好的商业信誉和健全的财务会计制度；</w:t>
      </w:r>
    </w:p>
    <w:p w14:paraId="2AC24E0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3、具有履行合同所必需的设备和专业技术能力；</w:t>
      </w:r>
    </w:p>
    <w:p w14:paraId="0A2F353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4、有依法缴纳税收和社会保障资金的良好记录；</w:t>
      </w:r>
    </w:p>
    <w:p w14:paraId="65DB72A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5、参加政府采购活动前三年内，在经营活动中没有重大违法记录；</w:t>
      </w:r>
    </w:p>
    <w:p w14:paraId="244F769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6、法律、行政法规规定的其他条件。</w:t>
      </w:r>
    </w:p>
    <w:p w14:paraId="36B6EDF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（二）资质要求</w:t>
      </w:r>
    </w:p>
    <w:p w14:paraId="5764E55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供应商营业执照上具有经营含电子监控、监控设备（数字视频监控系统）销售等相关类目；供应商主拟派送的监控系统配件具有相应检测产品合格证（电子监控产品身份信息证明牌）和供应商出具生产企业的授权书。</w:t>
      </w:r>
    </w:p>
    <w:p w14:paraId="6F27404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（三）其他规定</w:t>
      </w:r>
    </w:p>
    <w:p w14:paraId="002F526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1、单位负责人为同一人或者存在直接控股、管理关系的不同供应商，不得同时参加同一包号的投标活动；为某一包号提供整体设计、规范编制或者项目管理、监理、检测等服务的供应商，不得再参加该包的其他投标活动；</w:t>
      </w:r>
    </w:p>
    <w:p w14:paraId="0E761BA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2、本项目不接受联合体投标；</w:t>
      </w:r>
    </w:p>
    <w:p w14:paraId="4504375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3、本项目不接受进口产品。</w:t>
      </w:r>
    </w:p>
    <w:p w14:paraId="356A7A3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4、所投价格超出预算、未经医院预审或资料不齐的按非有效投标处理。</w:t>
      </w:r>
    </w:p>
    <w:p w14:paraId="6B00825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 xml:space="preserve">三.获取招标文件的时间、地点、方式 </w:t>
      </w:r>
    </w:p>
    <w:p w14:paraId="44C7624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 xml:space="preserve">获取招标文件的期限：详见招标公告； </w:t>
      </w:r>
    </w:p>
    <w:p w14:paraId="3AD6DF1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获取招标文件的地点：详见招标公告；</w:t>
      </w:r>
    </w:p>
    <w:p w14:paraId="50E5F21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其他要求：各投标单位按照技术参数报价，过期视为作废投标资格。</w:t>
      </w:r>
    </w:p>
    <w:p w14:paraId="0C378D6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四.招标文件售价</w:t>
      </w:r>
    </w:p>
    <w:p w14:paraId="12C2836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本次招标文件的售价为</w:t>
      </w:r>
      <w:r>
        <w:rPr>
          <w:rFonts w:hint="eastAsia" w:ascii="仿宋" w:hAnsi="仿宋" w:eastAsia="仿宋" w:cs="仿宋"/>
          <w:sz w:val="32"/>
          <w:szCs w:val="32"/>
          <w:u w:val="single"/>
        </w:rPr>
        <w:t xml:space="preserve"> 无 </w:t>
      </w:r>
      <w:r>
        <w:rPr>
          <w:rFonts w:hint="eastAsia" w:ascii="仿宋" w:hAnsi="仿宋" w:eastAsia="仿宋" w:cs="仿宋"/>
          <w:sz w:val="32"/>
          <w:szCs w:val="32"/>
        </w:rPr>
        <w:t>元人民币。</w:t>
      </w:r>
    </w:p>
    <w:p w14:paraId="7579E69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 xml:space="preserve">五.递交投标（响应）文件截止时间、开标时间及地点 </w:t>
      </w:r>
    </w:p>
    <w:p w14:paraId="53B0EFC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递交投标（响应）文件截止时间：详见招标公告</w:t>
      </w:r>
    </w:p>
    <w:p w14:paraId="51BB3CB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 xml:space="preserve">投标地点：详见招标公告 </w:t>
      </w:r>
    </w:p>
    <w:p w14:paraId="24431FA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 xml:space="preserve">开标时间：详见招标公告 </w:t>
      </w:r>
    </w:p>
    <w:p w14:paraId="2E39D8A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开标地点：详见招标公告</w:t>
      </w:r>
    </w:p>
    <w:p w14:paraId="28C22F6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六.联系方式</w:t>
      </w:r>
    </w:p>
    <w:p w14:paraId="0B135BE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采购单位名称：</w:t>
      </w:r>
      <w:r>
        <w:rPr>
          <w:rFonts w:hint="eastAsia" w:ascii="仿宋" w:hAnsi="仿宋" w:eastAsia="仿宋" w:cs="仿宋"/>
          <w:sz w:val="32"/>
          <w:szCs w:val="32"/>
          <w:lang w:val="en-US" w:eastAsia="zh-CN"/>
        </w:rPr>
        <w:t>呼伦贝尔市第二人民医院（呼伦贝尔市传染病医院）</w:t>
      </w:r>
    </w:p>
    <w:p w14:paraId="0955B1D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eastAsia="zh-CN"/>
        </w:rPr>
        <w:t>地址：内蒙古自治区呼伦贝尔市扎兰屯市雅路街</w:t>
      </w:r>
      <w:r>
        <w:rPr>
          <w:rFonts w:hint="eastAsia" w:ascii="仿宋" w:hAnsi="仿宋" w:eastAsia="仿宋" w:cs="仿宋"/>
          <w:b w:val="0"/>
          <w:bCs w:val="0"/>
          <w:sz w:val="32"/>
          <w:szCs w:val="32"/>
          <w:lang w:val="en-US" w:eastAsia="zh-CN"/>
        </w:rPr>
        <w:t>31号</w:t>
      </w:r>
    </w:p>
    <w:p w14:paraId="20B4A76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邮政编码：162650</w:t>
      </w:r>
    </w:p>
    <w:p w14:paraId="08EAC82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联系人：牛一冰</w:t>
      </w:r>
    </w:p>
    <w:p w14:paraId="1EA9F92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联系电话：15352806662</w:t>
      </w:r>
    </w:p>
    <w:p w14:paraId="0456382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宋体" w:hAnsi="宋体" w:eastAsia="宋体" w:cs="宋体"/>
          <w:b w:val="0"/>
          <w:bCs w:val="0"/>
          <w:sz w:val="28"/>
          <w:szCs w:val="28"/>
          <w:lang w:val="en-US" w:eastAsia="zh-CN"/>
        </w:rPr>
      </w:pPr>
    </w:p>
    <w:p w14:paraId="2E216AB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_GBK" w:hAnsi="方正小标宋_GBK" w:eastAsia="方正小标宋_GBK" w:cs="方正小标宋_GBK"/>
          <w:b w:val="0"/>
          <w:bCs w:val="0"/>
          <w:kern w:val="2"/>
          <w:sz w:val="44"/>
          <w:szCs w:val="44"/>
          <w:lang w:val="en-US" w:eastAsia="zh-CN" w:bidi="ar-SA"/>
        </w:rPr>
      </w:pPr>
    </w:p>
    <w:p w14:paraId="5D1F152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_GBK" w:hAnsi="方正小标宋_GBK" w:eastAsia="方正小标宋_GBK" w:cs="方正小标宋_GBK"/>
          <w:b w:val="0"/>
          <w:bCs w:val="0"/>
          <w:kern w:val="2"/>
          <w:sz w:val="44"/>
          <w:szCs w:val="44"/>
          <w:lang w:val="en-US" w:eastAsia="zh-CN" w:bidi="ar-SA"/>
        </w:rPr>
      </w:pPr>
    </w:p>
    <w:p w14:paraId="3A29655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_GBK" w:hAnsi="方正小标宋_GBK" w:eastAsia="方正小标宋_GBK" w:cs="方正小标宋_GBK"/>
          <w:b w:val="0"/>
          <w:bCs w:val="0"/>
          <w:kern w:val="2"/>
          <w:sz w:val="44"/>
          <w:szCs w:val="44"/>
          <w:lang w:val="en-US" w:eastAsia="zh-CN" w:bidi="ar-SA"/>
        </w:rPr>
      </w:pPr>
    </w:p>
    <w:p w14:paraId="4C44A7E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_GBK" w:hAnsi="方正小标宋_GBK" w:eastAsia="方正小标宋_GBK" w:cs="方正小标宋_GBK"/>
          <w:b w:val="0"/>
          <w:bCs w:val="0"/>
          <w:kern w:val="2"/>
          <w:sz w:val="44"/>
          <w:szCs w:val="44"/>
          <w:lang w:val="en-US" w:eastAsia="zh-CN" w:bidi="ar-SA"/>
        </w:rPr>
      </w:pPr>
    </w:p>
    <w:p w14:paraId="6E618C3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_GBK" w:hAnsi="方正小标宋_GBK" w:eastAsia="方正小标宋_GBK" w:cs="方正小标宋_GBK"/>
          <w:b w:val="0"/>
          <w:bCs w:val="0"/>
          <w:kern w:val="2"/>
          <w:sz w:val="44"/>
          <w:szCs w:val="44"/>
          <w:lang w:val="en-US" w:eastAsia="zh-CN" w:bidi="ar-SA"/>
        </w:rPr>
      </w:pPr>
    </w:p>
    <w:p w14:paraId="3D106E6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_GBK" w:hAnsi="方正小标宋_GBK" w:eastAsia="方正小标宋_GBK" w:cs="方正小标宋_GBK"/>
          <w:b w:val="0"/>
          <w:bCs w:val="0"/>
          <w:kern w:val="2"/>
          <w:sz w:val="44"/>
          <w:szCs w:val="44"/>
          <w:lang w:val="en-US" w:eastAsia="zh-CN" w:bidi="ar-SA"/>
        </w:rPr>
      </w:pPr>
    </w:p>
    <w:p w14:paraId="0025BB7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_GBK" w:hAnsi="方正小标宋_GBK" w:eastAsia="方正小标宋_GBK" w:cs="方正小标宋_GBK"/>
          <w:b w:val="0"/>
          <w:bCs w:val="0"/>
          <w:kern w:val="2"/>
          <w:sz w:val="44"/>
          <w:szCs w:val="44"/>
          <w:lang w:val="en-US" w:eastAsia="zh-CN" w:bidi="ar-SA"/>
        </w:rPr>
      </w:pPr>
    </w:p>
    <w:p w14:paraId="0A91535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_GBK" w:hAnsi="方正小标宋_GBK" w:eastAsia="方正小标宋_GBK" w:cs="方正小标宋_GBK"/>
          <w:b w:val="0"/>
          <w:bCs w:val="0"/>
          <w:kern w:val="2"/>
          <w:sz w:val="44"/>
          <w:szCs w:val="44"/>
          <w:lang w:val="en-US" w:eastAsia="zh-CN" w:bidi="ar-SA"/>
        </w:rPr>
      </w:pPr>
    </w:p>
    <w:p w14:paraId="74A4E93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_GBK" w:hAnsi="方正小标宋_GBK" w:eastAsia="方正小标宋_GBK" w:cs="方正小标宋_GBK"/>
          <w:b w:val="0"/>
          <w:bCs w:val="0"/>
          <w:kern w:val="2"/>
          <w:sz w:val="44"/>
          <w:szCs w:val="44"/>
          <w:lang w:val="en-US" w:eastAsia="zh-CN" w:bidi="ar-SA"/>
        </w:rPr>
      </w:pPr>
    </w:p>
    <w:p w14:paraId="06FD353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_GBK" w:hAnsi="方正小标宋_GBK" w:eastAsia="方正小标宋_GBK" w:cs="方正小标宋_GBK"/>
          <w:b w:val="0"/>
          <w:bCs w:val="0"/>
          <w:kern w:val="2"/>
          <w:sz w:val="44"/>
          <w:szCs w:val="44"/>
          <w:lang w:val="en-US" w:eastAsia="zh-CN" w:bidi="ar-SA"/>
        </w:rPr>
      </w:pPr>
    </w:p>
    <w:p w14:paraId="54C1A03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_GBK" w:hAnsi="方正小标宋_GBK" w:eastAsia="方正小标宋_GBK" w:cs="方正小标宋_GBK"/>
          <w:b w:val="0"/>
          <w:bCs w:val="0"/>
          <w:kern w:val="2"/>
          <w:sz w:val="44"/>
          <w:szCs w:val="44"/>
          <w:lang w:val="en-US" w:eastAsia="zh-CN" w:bidi="ar-SA"/>
        </w:rPr>
      </w:pPr>
    </w:p>
    <w:p w14:paraId="03BB106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_GBK" w:hAnsi="方正小标宋_GBK" w:eastAsia="方正小标宋_GBK" w:cs="方正小标宋_GBK"/>
          <w:b w:val="0"/>
          <w:bCs w:val="0"/>
          <w:kern w:val="2"/>
          <w:sz w:val="44"/>
          <w:szCs w:val="44"/>
          <w:lang w:val="en-US" w:eastAsia="zh-CN" w:bidi="ar-SA"/>
        </w:rPr>
      </w:pPr>
    </w:p>
    <w:p w14:paraId="393C6B0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_GBK" w:hAnsi="方正小标宋_GBK" w:eastAsia="方正小标宋_GBK" w:cs="方正小标宋_GBK"/>
          <w:b w:val="0"/>
          <w:bCs w:val="0"/>
          <w:kern w:val="2"/>
          <w:sz w:val="44"/>
          <w:szCs w:val="44"/>
          <w:lang w:val="en-US" w:eastAsia="zh-CN" w:bidi="ar-SA"/>
        </w:rPr>
      </w:pPr>
    </w:p>
    <w:p w14:paraId="07A424D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_GBK" w:hAnsi="方正小标宋_GBK" w:eastAsia="方正小标宋_GBK" w:cs="方正小标宋_GBK"/>
          <w:b w:val="0"/>
          <w:bCs w:val="0"/>
          <w:kern w:val="2"/>
          <w:sz w:val="44"/>
          <w:szCs w:val="44"/>
          <w:lang w:val="en-US" w:eastAsia="zh-CN" w:bidi="ar-SA"/>
        </w:rPr>
      </w:pPr>
    </w:p>
    <w:p w14:paraId="5188823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_GBK" w:hAnsi="方正小标宋_GBK" w:eastAsia="方正小标宋_GBK" w:cs="方正小标宋_GBK"/>
          <w:b w:val="0"/>
          <w:bCs w:val="0"/>
          <w:kern w:val="2"/>
          <w:sz w:val="44"/>
          <w:szCs w:val="44"/>
          <w:lang w:val="en-US" w:eastAsia="zh-CN" w:bidi="ar-SA"/>
        </w:rPr>
      </w:pPr>
    </w:p>
    <w:p w14:paraId="1094008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_GBK" w:hAnsi="方正小标宋_GBK" w:eastAsia="方正小标宋_GBK" w:cs="方正小标宋_GBK"/>
          <w:b w:val="0"/>
          <w:bCs w:val="0"/>
          <w:kern w:val="2"/>
          <w:sz w:val="44"/>
          <w:szCs w:val="44"/>
          <w:lang w:val="en-US" w:eastAsia="zh-CN" w:bidi="ar-SA"/>
        </w:rPr>
      </w:pPr>
    </w:p>
    <w:p w14:paraId="6556D3E4">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_GBK" w:hAnsi="方正小标宋_GBK" w:eastAsia="方正小标宋_GBK" w:cs="方正小标宋_GBK"/>
          <w:b w:val="0"/>
          <w:bCs w:val="0"/>
          <w:sz w:val="44"/>
          <w:szCs w:val="44"/>
          <w:lang w:val="en-US" w:eastAsia="zh-CN"/>
        </w:rPr>
      </w:pPr>
      <w:r>
        <w:rPr>
          <w:rFonts w:hint="eastAsia" w:ascii="方正小标宋_GBK" w:hAnsi="方正小标宋_GBK" w:eastAsia="方正小标宋_GBK" w:cs="方正小标宋_GBK"/>
          <w:b w:val="0"/>
          <w:bCs w:val="0"/>
          <w:sz w:val="44"/>
          <w:szCs w:val="44"/>
          <w:lang w:eastAsia="zh-CN"/>
        </w:rPr>
        <w:t>投标须知</w:t>
      </w:r>
    </w:p>
    <w:p w14:paraId="7E13EC6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kern w:val="2"/>
          <w:sz w:val="32"/>
          <w:szCs w:val="32"/>
          <w:lang w:val="en-US" w:eastAsia="zh-CN" w:bidi="ar-SA"/>
        </w:rPr>
        <w:t>一.</w:t>
      </w:r>
      <w:r>
        <w:rPr>
          <w:rFonts w:hint="eastAsia" w:ascii="黑体" w:hAnsi="黑体" w:eastAsia="黑体" w:cs="黑体"/>
          <w:b w:val="0"/>
          <w:bCs w:val="0"/>
          <w:sz w:val="32"/>
          <w:szCs w:val="32"/>
          <w:lang w:val="en-US" w:eastAsia="zh-CN"/>
        </w:rPr>
        <w:t>投标方式</w:t>
      </w:r>
    </w:p>
    <w:p w14:paraId="73231F6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投标方式采用现场投标方式，每个项目投标单位不得少于三家。</w:t>
      </w:r>
    </w:p>
    <w:p w14:paraId="0D745FD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二.说明</w:t>
      </w:r>
    </w:p>
    <w:p w14:paraId="3FFE0C4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sz w:val="32"/>
          <w:szCs w:val="32"/>
        </w:rPr>
        <w:t>本招标文件依据《中华人民共和国政府采购法》、《中华人民共和国政府采购法实施条例》和《政府采购货物和服务招标 投标管理办法》（财政部令第87号）及国家和自治区有关法律、法规、规章制度编制。 投标人应仔细阅读本项目信息公告及招标文件的所有内容（包括变更、补充、澄清以及修改等，且均为招标文件的组成部 分），按照招标文件要求以及格式编制投标文件，并保证其真实性，否则一切后果自负。 本次公开招标项目，是以招标公告的方式邀请非特定的投标人参加投标。</w:t>
      </w:r>
    </w:p>
    <w:p w14:paraId="09F9D70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三.适用范围</w:t>
      </w:r>
    </w:p>
    <w:p w14:paraId="6B4AF7C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rPr>
        <w:t>本招标文件仅适用于本次招标公告中所涉及的项目和内容</w:t>
      </w:r>
      <w:r>
        <w:rPr>
          <w:rFonts w:hint="eastAsia" w:ascii="仿宋" w:hAnsi="仿宋" w:eastAsia="仿宋" w:cs="仿宋"/>
          <w:sz w:val="32"/>
          <w:szCs w:val="32"/>
          <w:lang w:eastAsia="zh-CN"/>
        </w:rPr>
        <w:t>。</w:t>
      </w:r>
    </w:p>
    <w:p w14:paraId="67E4B84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四.投标有效期</w:t>
      </w:r>
    </w:p>
    <w:p w14:paraId="27DBBE0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 xml:space="preserve">.投标有效期从提交投标文件的截止之日起算。投标文件中承诺的投标有效期应当不少于招标文件中载明的投标有效期。 投标有效期内投标人撤销投标文件的，采购人或者采购代理机构可以不退还投标保证金。 </w:t>
      </w:r>
    </w:p>
    <w:p w14:paraId="072FA5C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ascii="宋体" w:hAnsi="宋体" w:eastAsia="宋体" w:cs="宋体"/>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.出现特殊情况需要延长投标有效期的，采购人以书面形式通知所有投标人延长投标有效期。</w:t>
      </w:r>
    </w:p>
    <w:p w14:paraId="4B48631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kern w:val="2"/>
          <w:sz w:val="44"/>
          <w:szCs w:val="44"/>
          <w:lang w:val="en-US" w:eastAsia="zh-CN" w:bidi="ar-SA"/>
        </w:rPr>
        <w:t xml:space="preserve">第三章 </w:t>
      </w:r>
      <w:r>
        <w:rPr>
          <w:rFonts w:hint="eastAsia" w:ascii="方正小标宋_GBK" w:hAnsi="方正小标宋_GBK" w:eastAsia="方正小标宋_GBK" w:cs="方正小标宋_GBK"/>
          <w:b w:val="0"/>
          <w:bCs w:val="0"/>
          <w:sz w:val="44"/>
          <w:szCs w:val="44"/>
        </w:rPr>
        <w:t>投标人应当提交的资格、资信证明文件</w:t>
      </w:r>
    </w:p>
    <w:p w14:paraId="557AEB7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hint="eastAsia" w:ascii="仿宋" w:hAnsi="仿宋" w:eastAsia="仿宋" w:cs="仿宋"/>
          <w:b w:val="0"/>
          <w:bCs w:val="0"/>
          <w:sz w:val="32"/>
          <w:szCs w:val="32"/>
        </w:rPr>
      </w:pPr>
    </w:p>
    <w:p w14:paraId="3D210D5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rPr>
        <w:t>投标人应提交证明其有资格参加投标和中标后有能力履行合同的相关文件，并作为其投标文件的一部分，所有文件必须 真实可靠、不得伪造，否则将按相关规定予以处罚。</w:t>
      </w:r>
      <w:r>
        <w:rPr>
          <w:rFonts w:hint="eastAsia" w:ascii="仿宋" w:hAnsi="仿宋" w:eastAsia="仿宋" w:cs="仿宋"/>
          <w:sz w:val="32"/>
          <w:szCs w:val="32"/>
          <w:lang w:val="en-US" w:eastAsia="zh-CN"/>
        </w:rPr>
        <w:t>具体内容如下：</w:t>
      </w:r>
    </w:p>
    <w:p w14:paraId="66B3A6A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20" w:leftChars="0" w:firstLine="640" w:firstLineChars="200"/>
        <w:jc w:val="both"/>
        <w:textAlignment w:val="auto"/>
        <w:rPr>
          <w:rFonts w:hint="eastAsia" w:ascii="仿宋" w:hAnsi="仿宋" w:eastAsia="仿宋" w:cs="仿宋"/>
          <w:sz w:val="32"/>
          <w:szCs w:val="32"/>
        </w:rPr>
      </w:pPr>
      <w:r>
        <w:rPr>
          <w:rFonts w:hint="eastAsia" w:ascii="仿宋" w:hAnsi="仿宋" w:eastAsia="仿宋" w:cs="仿宋"/>
          <w:kern w:val="2"/>
          <w:sz w:val="32"/>
          <w:szCs w:val="32"/>
          <w:lang w:val="en-US" w:eastAsia="zh-CN" w:bidi="ar-SA"/>
        </w:rPr>
        <w:t>1.</w:t>
      </w:r>
      <w:r>
        <w:rPr>
          <w:rFonts w:hint="eastAsia" w:ascii="仿宋" w:hAnsi="仿宋" w:eastAsia="仿宋" w:cs="仿宋"/>
          <w:sz w:val="32"/>
          <w:szCs w:val="32"/>
        </w:rPr>
        <w:t>法人或者其他组织的营业执照等证明文件，自然人的身份证明： 法人包括企业法人、机关法人、事业单位法人和社会团体法人；其他组织主要包括合伙企业、非企业专业服务机构、个 体工商户、农村承包经营户；自然人是指《中华人民共和国民法典》（以下简称《民法典》）规定的具有完全民事行为能力、 能够承担民事责任和义务的公民。如投标人是企业（包括合伙企业），要提供在工商部门注册的有效“企业法人营业执 照”或“营业执照”；如投标人是事业单位，要提供有效的“事业单位法人证书”；投标人是非企业专业服务机构的，如律师事务 所，会计师事务所要提供执业许可证等证明文件；如投标人是个体工商户，要提供有效的“个体工商户营业执照”；如投标人是 自然人，要提供有效的自然人身份证明。 这里所指“其他组织”不包括法人的分支机构，由于法人分支机构不能独立承担民事责任，不能以分支机构的身份参加政 府采购，只能以法人身份参加。“但由于银行、保险、石油石化、电力、电信等行业具有其特殊性，如果能够提供其法人给予 的相应授权证明材料，可以参加政府采购活动”。</w:t>
      </w:r>
    </w:p>
    <w:p w14:paraId="22DC112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20"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kern w:val="2"/>
          <w:sz w:val="32"/>
          <w:szCs w:val="32"/>
          <w:lang w:val="en-US" w:eastAsia="zh-CN" w:bidi="ar-SA"/>
        </w:rPr>
        <w:t>2.</w:t>
      </w:r>
      <w:r>
        <w:rPr>
          <w:rFonts w:hint="eastAsia" w:ascii="仿宋" w:hAnsi="仿宋" w:eastAsia="仿宋" w:cs="仿宋"/>
          <w:sz w:val="32"/>
          <w:szCs w:val="32"/>
        </w:rPr>
        <w:t xml:space="preserve">财务状况报告，依法缴纳税收和社会保障资金的相关材料（详见资格性审查表要求） </w:t>
      </w:r>
    </w:p>
    <w:p w14:paraId="5C9B4BB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20"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kern w:val="2"/>
          <w:sz w:val="32"/>
          <w:szCs w:val="32"/>
          <w:lang w:val="en-US" w:eastAsia="zh-CN" w:bidi="ar-SA"/>
        </w:rPr>
        <w:t>3.</w:t>
      </w:r>
      <w:r>
        <w:rPr>
          <w:rFonts w:hint="eastAsia" w:ascii="仿宋" w:hAnsi="仿宋" w:eastAsia="仿宋" w:cs="仿宋"/>
          <w:sz w:val="32"/>
          <w:szCs w:val="32"/>
        </w:rPr>
        <w:t xml:space="preserve">具有履行合同所必须的设备和专业技术能力的声明。 </w:t>
      </w:r>
    </w:p>
    <w:p w14:paraId="0412D96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20" w:leftChars="0" w:firstLine="640" w:firstLineChars="200"/>
        <w:jc w:val="both"/>
        <w:textAlignment w:val="auto"/>
        <w:rPr>
          <w:rFonts w:hint="eastAsia" w:ascii="仿宋" w:hAnsi="仿宋" w:eastAsia="仿宋" w:cs="仿宋"/>
          <w:sz w:val="32"/>
          <w:szCs w:val="32"/>
        </w:rPr>
      </w:pPr>
      <w:r>
        <w:rPr>
          <w:rFonts w:hint="eastAsia" w:ascii="仿宋" w:hAnsi="仿宋" w:eastAsia="仿宋" w:cs="仿宋"/>
          <w:kern w:val="2"/>
          <w:sz w:val="32"/>
          <w:szCs w:val="32"/>
          <w:lang w:val="en-US" w:eastAsia="zh-CN" w:bidi="ar-SA"/>
        </w:rPr>
        <w:t>4.</w:t>
      </w:r>
      <w:r>
        <w:rPr>
          <w:rFonts w:hint="eastAsia" w:ascii="仿宋" w:hAnsi="仿宋" w:eastAsia="仿宋" w:cs="仿宋"/>
          <w:sz w:val="32"/>
          <w:szCs w:val="32"/>
        </w:rPr>
        <w:t xml:space="preserve">投标人参加政府采购前三年内在经营活动中没有重大违法记录书面声明函。 </w:t>
      </w:r>
    </w:p>
    <w:p w14:paraId="1515355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20" w:lef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5.信用记录查询</w:t>
      </w:r>
    </w:p>
    <w:p w14:paraId="3893CA0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w:t>
      </w:r>
      <w:r>
        <w:rPr>
          <w:rFonts w:hint="eastAsia" w:ascii="仿宋" w:hAnsi="仿宋" w:eastAsia="仿宋" w:cs="仿宋"/>
          <w:sz w:val="32"/>
          <w:szCs w:val="32"/>
        </w:rPr>
        <w:t>查询渠道：通过“信用中国”网站(www.creditchina.gov.cn)和“中国政府采购网”</w:t>
      </w:r>
      <w:r>
        <w:rPr>
          <w:rFonts w:hint="eastAsia" w:ascii="仿宋" w:hAnsi="仿宋" w:eastAsia="仿宋" w:cs="仿宋"/>
          <w:sz w:val="32"/>
          <w:szCs w:val="32"/>
          <w:lang w:eastAsia="zh-CN"/>
        </w:rPr>
        <w:t>（</w:t>
      </w:r>
      <w:r>
        <w:rPr>
          <w:rFonts w:hint="eastAsia" w:ascii="仿宋" w:hAnsi="仿宋" w:eastAsia="仿宋" w:cs="仿宋"/>
          <w:sz w:val="32"/>
          <w:szCs w:val="32"/>
        </w:rPr>
        <w:t>www.ccgp.gov.cn</w:t>
      </w:r>
      <w:r>
        <w:rPr>
          <w:rFonts w:hint="eastAsia" w:ascii="仿宋" w:hAnsi="仿宋" w:eastAsia="仿宋" w:cs="仿宋"/>
          <w:sz w:val="32"/>
          <w:szCs w:val="32"/>
          <w:lang w:eastAsia="zh-CN"/>
        </w:rPr>
        <w:t>）</w:t>
      </w:r>
      <w:r>
        <w:rPr>
          <w:rFonts w:hint="eastAsia" w:ascii="仿宋" w:hAnsi="仿宋" w:eastAsia="仿宋" w:cs="仿宋"/>
          <w:sz w:val="32"/>
          <w:szCs w:val="32"/>
        </w:rPr>
        <w:t xml:space="preserve">进行查询； </w:t>
      </w:r>
    </w:p>
    <w:p w14:paraId="01114EA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20"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w:t>
      </w:r>
      <w:r>
        <w:rPr>
          <w:rFonts w:hint="eastAsia" w:ascii="仿宋" w:hAnsi="仿宋" w:eastAsia="仿宋" w:cs="仿宋"/>
          <w:sz w:val="32"/>
          <w:szCs w:val="32"/>
        </w:rPr>
        <w:t xml:space="preserve">查询截止时点：本项目资格审查时查询； </w:t>
      </w:r>
    </w:p>
    <w:p w14:paraId="4EC8F38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20"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kern w:val="2"/>
          <w:sz w:val="32"/>
          <w:szCs w:val="32"/>
          <w:lang w:val="en-US" w:eastAsia="zh-CN" w:bidi="ar-SA"/>
        </w:rPr>
        <w:t>（3）</w:t>
      </w:r>
      <w:r>
        <w:rPr>
          <w:rFonts w:hint="eastAsia" w:ascii="仿宋" w:hAnsi="仿宋" w:eastAsia="仿宋" w:cs="仿宋"/>
          <w:sz w:val="32"/>
          <w:szCs w:val="32"/>
        </w:rPr>
        <w:t xml:space="preserve">查询记录：对列入失信被执行人、重大税收违法案件当事人名单、政府采购严重违法失信行为记录名单、信用报 告进行查询； 采购人或采购代理机构应当按照查询渠道、查询时间节点、查询记录内容进行查询，并存档。对信用记录查询结果中显 示投标人被列入失信被执行人、重大税收违法案件当事人名单、政府采购严重违法失信行为记录名单的投标人作无效投标处理。 </w:t>
      </w:r>
    </w:p>
    <w:p w14:paraId="4E7F875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20" w:lef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6.</w:t>
      </w:r>
      <w:r>
        <w:rPr>
          <w:rFonts w:hint="eastAsia" w:ascii="仿宋" w:hAnsi="仿宋" w:eastAsia="仿宋" w:cs="仿宋"/>
          <w:sz w:val="32"/>
          <w:szCs w:val="32"/>
        </w:rPr>
        <w:t>按照招标文件要求，投标人应当提交的资格、资信证明文件。</w:t>
      </w:r>
    </w:p>
    <w:p w14:paraId="7848EDD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20" w:leftChars="0" w:firstLine="640" w:firstLineChars="200"/>
        <w:jc w:val="both"/>
        <w:textAlignment w:val="auto"/>
        <w:rPr>
          <w:rFonts w:hint="eastAsia" w:ascii="仿宋" w:hAnsi="仿宋" w:eastAsia="仿宋" w:cs="仿宋"/>
          <w:sz w:val="32"/>
          <w:szCs w:val="32"/>
        </w:rPr>
      </w:pPr>
    </w:p>
    <w:p w14:paraId="33BDE6F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20" w:leftChars="0" w:firstLine="640" w:firstLineChars="200"/>
        <w:jc w:val="both"/>
        <w:textAlignment w:val="auto"/>
        <w:rPr>
          <w:rFonts w:hint="eastAsia" w:ascii="仿宋" w:hAnsi="仿宋" w:eastAsia="仿宋" w:cs="仿宋"/>
          <w:sz w:val="32"/>
          <w:szCs w:val="32"/>
        </w:rPr>
      </w:pPr>
    </w:p>
    <w:p w14:paraId="610AD6F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20" w:leftChars="0" w:firstLine="640" w:firstLineChars="200"/>
        <w:jc w:val="both"/>
        <w:textAlignment w:val="auto"/>
        <w:rPr>
          <w:rFonts w:hint="eastAsia" w:ascii="仿宋" w:hAnsi="仿宋" w:eastAsia="仿宋" w:cs="仿宋"/>
          <w:sz w:val="32"/>
          <w:szCs w:val="32"/>
        </w:rPr>
      </w:pPr>
    </w:p>
    <w:p w14:paraId="24F32AF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公文小标宋" w:hAnsi="方正公文小标宋" w:eastAsia="方正公文小标宋" w:cs="方正公文小标宋"/>
          <w:b w:val="0"/>
          <w:bCs w:val="0"/>
          <w:kern w:val="2"/>
          <w:sz w:val="44"/>
          <w:szCs w:val="44"/>
          <w:lang w:val="en-US" w:eastAsia="zh-CN" w:bidi="ar-SA"/>
        </w:rPr>
      </w:pPr>
    </w:p>
    <w:p w14:paraId="59AD9F6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_GBK" w:hAnsi="方正小标宋_GBK" w:eastAsia="方正小标宋_GBK" w:cs="方正小标宋_GBK"/>
          <w:b w:val="0"/>
          <w:bCs w:val="0"/>
          <w:kern w:val="2"/>
          <w:sz w:val="44"/>
          <w:szCs w:val="44"/>
          <w:lang w:val="en-US" w:eastAsia="zh-CN" w:bidi="ar-SA"/>
        </w:rPr>
      </w:pPr>
    </w:p>
    <w:p w14:paraId="3840F14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_GBK" w:hAnsi="方正小标宋_GBK" w:eastAsia="方正小标宋_GBK" w:cs="方正小标宋_GBK"/>
          <w:b w:val="0"/>
          <w:bCs w:val="0"/>
          <w:sz w:val="44"/>
          <w:szCs w:val="44"/>
          <w:lang w:val="en-US" w:eastAsia="zh-CN"/>
        </w:rPr>
      </w:pPr>
      <w:r>
        <w:rPr>
          <w:rFonts w:hint="eastAsia" w:ascii="方正小标宋_GBK" w:hAnsi="方正小标宋_GBK" w:eastAsia="方正小标宋_GBK" w:cs="方正小标宋_GBK"/>
          <w:b w:val="0"/>
          <w:bCs w:val="0"/>
          <w:kern w:val="2"/>
          <w:sz w:val="44"/>
          <w:szCs w:val="44"/>
          <w:lang w:val="en-US" w:eastAsia="zh-CN" w:bidi="ar-SA"/>
        </w:rPr>
        <w:t xml:space="preserve">第四章 </w:t>
      </w:r>
      <w:r>
        <w:rPr>
          <w:rFonts w:hint="eastAsia" w:ascii="方正小标宋_GBK" w:hAnsi="方正小标宋_GBK" w:eastAsia="方正小标宋_GBK" w:cs="方正小标宋_GBK"/>
          <w:b w:val="0"/>
          <w:bCs w:val="0"/>
          <w:sz w:val="44"/>
          <w:szCs w:val="44"/>
          <w:lang w:val="en-US" w:eastAsia="zh-CN"/>
        </w:rPr>
        <w:t>评审</w:t>
      </w:r>
    </w:p>
    <w:p w14:paraId="205A5E4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hint="eastAsia" w:ascii="方正公文小标宋" w:hAnsi="方正公文小标宋" w:eastAsia="方正公文小标宋" w:cs="方正公文小标宋"/>
          <w:b w:val="0"/>
          <w:bCs w:val="0"/>
          <w:sz w:val="32"/>
          <w:szCs w:val="32"/>
          <w:lang w:val="en-US" w:eastAsia="zh-CN"/>
        </w:rPr>
      </w:pPr>
    </w:p>
    <w:p w14:paraId="50AC7F6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20" w:leftChars="0"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一、</w:t>
      </w:r>
      <w:r>
        <w:rPr>
          <w:rFonts w:hint="eastAsia" w:ascii="黑体" w:hAnsi="黑体" w:eastAsia="黑体" w:cs="黑体"/>
          <w:b w:val="0"/>
          <w:bCs w:val="0"/>
          <w:sz w:val="32"/>
          <w:szCs w:val="32"/>
        </w:rPr>
        <w:t>评标方法</w:t>
      </w:r>
    </w:p>
    <w:p w14:paraId="38F00EE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20" w:lef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综合评分法,是指投标文件满足招标文件全部实质性要求，且按照评审因素的量化指标评审得分最高的投标人为中标候选人的评标方法。（最低报价不是中标的唯一依据。）</w:t>
      </w:r>
    </w:p>
    <w:p w14:paraId="61B2DCD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20" w:leftChars="0"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 xml:space="preserve">二、评标原则 </w:t>
      </w:r>
    </w:p>
    <w:p w14:paraId="4DC5BD6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一</w:t>
      </w:r>
      <w:r>
        <w:rPr>
          <w:rFonts w:hint="eastAsia" w:ascii="仿宋" w:hAnsi="仿宋" w:eastAsia="仿宋" w:cs="仿宋"/>
          <w:sz w:val="32"/>
          <w:szCs w:val="32"/>
          <w:lang w:eastAsia="zh-CN"/>
        </w:rPr>
        <w:t>）</w:t>
      </w:r>
      <w:r>
        <w:rPr>
          <w:rFonts w:hint="eastAsia" w:ascii="仿宋" w:hAnsi="仿宋" w:eastAsia="仿宋" w:cs="仿宋"/>
          <w:sz w:val="32"/>
          <w:szCs w:val="32"/>
        </w:rPr>
        <w:t>评标活动遵循公平、公正、科学和择优的原则，以招标文件和投标文件为评标的基本依据，并按照招标文件规定的 评标方法和评标标准进行评标。</w:t>
      </w:r>
    </w:p>
    <w:p w14:paraId="4414898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二</w:t>
      </w:r>
      <w:r>
        <w:rPr>
          <w:rFonts w:hint="eastAsia" w:ascii="仿宋" w:hAnsi="仿宋" w:eastAsia="仿宋" w:cs="仿宋"/>
          <w:sz w:val="32"/>
          <w:szCs w:val="32"/>
          <w:lang w:eastAsia="zh-CN"/>
        </w:rPr>
        <w:t>）</w:t>
      </w:r>
      <w:r>
        <w:rPr>
          <w:rFonts w:hint="eastAsia" w:ascii="仿宋" w:hAnsi="仿宋" w:eastAsia="仿宋" w:cs="仿宋"/>
          <w:sz w:val="32"/>
          <w:szCs w:val="32"/>
        </w:rPr>
        <w:t xml:space="preserve">具体评标事项由评标委员会负责，并按招标文件的规定办法进行评审。 </w:t>
      </w:r>
    </w:p>
    <w:p w14:paraId="57CD2BE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三</w:t>
      </w:r>
      <w:r>
        <w:rPr>
          <w:rFonts w:hint="eastAsia" w:ascii="仿宋" w:hAnsi="仿宋" w:eastAsia="仿宋" w:cs="仿宋"/>
          <w:sz w:val="32"/>
          <w:szCs w:val="32"/>
          <w:lang w:eastAsia="zh-CN"/>
        </w:rPr>
        <w:t>）</w:t>
      </w:r>
      <w:r>
        <w:rPr>
          <w:rFonts w:hint="eastAsia" w:ascii="仿宋" w:hAnsi="仿宋" w:eastAsia="仿宋" w:cs="仿宋"/>
          <w:sz w:val="32"/>
          <w:szCs w:val="32"/>
        </w:rPr>
        <w:t>合格投标人不足三家的，不得评标。</w:t>
      </w:r>
    </w:p>
    <w:p w14:paraId="71E0467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20" w:leftChars="0"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 xml:space="preserve">三.评标委员会 </w:t>
      </w:r>
    </w:p>
    <w:p w14:paraId="7AD5EF5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20" w:lef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 xml:space="preserve">3.1评标委员会由采购人代表和有关技术、经济等方面的专家组成，成员人数为5人及以上单数，其中技术、经济等方面 的评审专家不得少于成员总数的三分之二。 </w:t>
      </w:r>
    </w:p>
    <w:p w14:paraId="164E64C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20" w:lef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 xml:space="preserve">3.2 评标委员会成员有下列情形之一的，应当回避： </w:t>
      </w:r>
    </w:p>
    <w:p w14:paraId="6155CF9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20" w:lef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 xml:space="preserve">（1）参加采购活动前三年内,与投标人存在劳动关系,或者担任过投标人的董事、监事,或者是投标人的控股股东或实际 控制人； </w:t>
      </w:r>
    </w:p>
    <w:p w14:paraId="0D2B199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20" w:lef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 xml:space="preserve">（2）与投标人的法定代表人或者负责人有夫妻、直系血亲、三代以内旁系血亲或者近姻亲关系； </w:t>
      </w:r>
    </w:p>
    <w:p w14:paraId="642F727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20" w:lef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（3）与投标人有其他可能影响政府采购活动公平、公正进行的关系；</w:t>
      </w:r>
    </w:p>
    <w:p w14:paraId="69659E7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20" w:lef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3.3评标委员会负责具体评标事务，并独立履行下列职责：</w:t>
      </w:r>
    </w:p>
    <w:p w14:paraId="77A8218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kern w:val="2"/>
          <w:sz w:val="32"/>
          <w:szCs w:val="32"/>
          <w:lang w:val="en-US" w:eastAsia="zh-CN" w:bidi="ar-SA"/>
        </w:rPr>
        <w:t>（1）</w:t>
      </w:r>
      <w:r>
        <w:rPr>
          <w:rFonts w:hint="eastAsia" w:ascii="仿宋" w:hAnsi="仿宋" w:eastAsia="仿宋" w:cs="仿宋"/>
          <w:sz w:val="32"/>
          <w:szCs w:val="32"/>
        </w:rPr>
        <w:t xml:space="preserve">审查、评价投标文件是否符合招标文件的商务、技术等实质性要求； </w:t>
      </w:r>
    </w:p>
    <w:p w14:paraId="79ED9F4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kern w:val="2"/>
          <w:sz w:val="32"/>
          <w:szCs w:val="32"/>
          <w:lang w:val="en-US" w:eastAsia="zh-CN" w:bidi="ar-SA"/>
        </w:rPr>
        <w:t>（2）</w:t>
      </w:r>
      <w:r>
        <w:rPr>
          <w:rFonts w:hint="eastAsia" w:ascii="仿宋" w:hAnsi="仿宋" w:eastAsia="仿宋" w:cs="仿宋"/>
          <w:sz w:val="32"/>
          <w:szCs w:val="32"/>
        </w:rPr>
        <w:t xml:space="preserve">要求投标人对投标文件有关事项作出澄清或者说明； </w:t>
      </w:r>
    </w:p>
    <w:p w14:paraId="6A23832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kern w:val="2"/>
          <w:sz w:val="32"/>
          <w:szCs w:val="32"/>
          <w:lang w:val="en-US" w:eastAsia="zh-CN" w:bidi="ar-SA"/>
        </w:rPr>
        <w:t>（3）</w:t>
      </w:r>
      <w:r>
        <w:rPr>
          <w:rFonts w:hint="eastAsia" w:ascii="仿宋" w:hAnsi="仿宋" w:eastAsia="仿宋" w:cs="仿宋"/>
          <w:sz w:val="32"/>
          <w:szCs w:val="32"/>
        </w:rPr>
        <w:t xml:space="preserve">对投标文件进行比较和评价； </w:t>
      </w:r>
    </w:p>
    <w:p w14:paraId="1C89488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kern w:val="2"/>
          <w:sz w:val="32"/>
          <w:szCs w:val="32"/>
          <w:lang w:val="en-US" w:eastAsia="zh-CN" w:bidi="ar-SA"/>
        </w:rPr>
        <w:t>（4）</w:t>
      </w:r>
      <w:r>
        <w:rPr>
          <w:rFonts w:hint="eastAsia" w:ascii="仿宋" w:hAnsi="仿宋" w:eastAsia="仿宋" w:cs="仿宋"/>
          <w:sz w:val="32"/>
          <w:szCs w:val="32"/>
        </w:rPr>
        <w:t xml:space="preserve">确定中标候选人名单，以及根据采购人委托直接确定中标人； </w:t>
      </w:r>
    </w:p>
    <w:p w14:paraId="414BEBC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kern w:val="2"/>
          <w:sz w:val="32"/>
          <w:szCs w:val="32"/>
          <w:lang w:val="en-US" w:eastAsia="zh-CN" w:bidi="ar-SA"/>
        </w:rPr>
        <w:t>（5）</w:t>
      </w:r>
      <w:r>
        <w:rPr>
          <w:rFonts w:hint="eastAsia" w:ascii="仿宋" w:hAnsi="仿宋" w:eastAsia="仿宋" w:cs="仿宋"/>
          <w:sz w:val="32"/>
          <w:szCs w:val="32"/>
        </w:rPr>
        <w:t xml:space="preserve">向采购人或者有关部门报告评标中发现的违法行为； </w:t>
      </w:r>
    </w:p>
    <w:p w14:paraId="4CD2799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kern w:val="2"/>
          <w:sz w:val="32"/>
          <w:szCs w:val="32"/>
          <w:lang w:val="en-US" w:eastAsia="zh-CN" w:bidi="ar-SA"/>
        </w:rPr>
        <w:t>（6）</w:t>
      </w:r>
      <w:r>
        <w:rPr>
          <w:rFonts w:hint="eastAsia" w:ascii="仿宋" w:hAnsi="仿宋" w:eastAsia="仿宋" w:cs="仿宋"/>
          <w:sz w:val="32"/>
          <w:szCs w:val="32"/>
        </w:rPr>
        <w:t>法律法规规定的其他职责。</w:t>
      </w:r>
    </w:p>
    <w:p w14:paraId="67CAD59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20" w:leftChars="0" w:firstLine="640" w:firstLineChars="200"/>
        <w:jc w:val="both"/>
        <w:textAlignment w:val="auto"/>
        <w:rPr>
          <w:rFonts w:hint="eastAsia" w:ascii="仿宋" w:hAnsi="仿宋" w:eastAsia="仿宋" w:cs="仿宋"/>
          <w:sz w:val="32"/>
          <w:szCs w:val="32"/>
        </w:rPr>
      </w:pPr>
      <w:r>
        <w:rPr>
          <w:rFonts w:hint="eastAsia" w:ascii="黑体" w:hAnsi="黑体" w:eastAsia="黑体" w:cs="黑体"/>
          <w:b w:val="0"/>
          <w:bCs w:val="0"/>
          <w:sz w:val="32"/>
          <w:szCs w:val="32"/>
          <w:lang w:val="en-US" w:eastAsia="zh-CN"/>
        </w:rPr>
        <w:t>四.废标的情形</w:t>
      </w:r>
      <w:r>
        <w:rPr>
          <w:rFonts w:hint="eastAsia" w:ascii="仿宋" w:hAnsi="仿宋" w:eastAsia="仿宋" w:cs="仿宋"/>
          <w:b/>
          <w:bCs/>
          <w:sz w:val="32"/>
          <w:szCs w:val="32"/>
        </w:rPr>
        <w:t xml:space="preserve"> </w:t>
      </w:r>
    </w:p>
    <w:p w14:paraId="794A9F6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20" w:lef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 xml:space="preserve">出现下列情形之一的，应予以废标。 </w:t>
      </w:r>
    </w:p>
    <w:p w14:paraId="014F3A9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kern w:val="2"/>
          <w:sz w:val="32"/>
          <w:szCs w:val="32"/>
          <w:lang w:val="en-US" w:eastAsia="zh-CN" w:bidi="ar-SA"/>
        </w:rPr>
        <w:t>（1）</w:t>
      </w:r>
      <w:r>
        <w:rPr>
          <w:rFonts w:hint="eastAsia" w:ascii="仿宋" w:hAnsi="仿宋" w:eastAsia="仿宋" w:cs="仿宋"/>
          <w:sz w:val="32"/>
          <w:szCs w:val="32"/>
        </w:rPr>
        <w:t xml:space="preserve">符合专业条件的投标人或者对招标文件作实质响应的投标人不足3家；（或参与竞争的核心产品品牌不足3个）的； </w:t>
      </w:r>
    </w:p>
    <w:p w14:paraId="272B289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kern w:val="2"/>
          <w:sz w:val="32"/>
          <w:szCs w:val="32"/>
          <w:lang w:val="en-US" w:eastAsia="zh-CN" w:bidi="ar-SA"/>
        </w:rPr>
        <w:t>（2）</w:t>
      </w:r>
      <w:r>
        <w:rPr>
          <w:rFonts w:hint="eastAsia" w:ascii="仿宋" w:hAnsi="仿宋" w:eastAsia="仿宋" w:cs="仿宋"/>
          <w:sz w:val="32"/>
          <w:szCs w:val="32"/>
        </w:rPr>
        <w:t xml:space="preserve">出现影响采购公正的违法、违规行为的； </w:t>
      </w:r>
    </w:p>
    <w:p w14:paraId="4C37E08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kern w:val="2"/>
          <w:sz w:val="32"/>
          <w:szCs w:val="32"/>
          <w:lang w:val="en-US" w:eastAsia="zh-CN" w:bidi="ar-SA"/>
        </w:rPr>
        <w:t>（3）</w:t>
      </w:r>
      <w:r>
        <w:rPr>
          <w:rFonts w:hint="eastAsia" w:ascii="仿宋" w:hAnsi="仿宋" w:eastAsia="仿宋" w:cs="仿宋"/>
          <w:sz w:val="32"/>
          <w:szCs w:val="32"/>
        </w:rPr>
        <w:t xml:space="preserve">投标人的报价均超过了采购预算； </w:t>
      </w:r>
    </w:p>
    <w:p w14:paraId="30ED9A7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kern w:val="2"/>
          <w:sz w:val="32"/>
          <w:szCs w:val="32"/>
          <w:lang w:val="en-US" w:eastAsia="zh-CN" w:bidi="ar-SA"/>
        </w:rPr>
        <w:t>（4）</w:t>
      </w:r>
      <w:r>
        <w:rPr>
          <w:rFonts w:hint="eastAsia" w:ascii="仿宋" w:hAnsi="仿宋" w:eastAsia="仿宋" w:cs="仿宋"/>
          <w:sz w:val="32"/>
          <w:szCs w:val="32"/>
        </w:rPr>
        <w:t xml:space="preserve">因重大变故，采购任务取消； </w:t>
      </w:r>
    </w:p>
    <w:p w14:paraId="5A4CFC8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kern w:val="2"/>
          <w:sz w:val="32"/>
          <w:szCs w:val="32"/>
          <w:lang w:val="en-US" w:eastAsia="zh-CN" w:bidi="ar-SA"/>
        </w:rPr>
        <w:t>（5）</w:t>
      </w:r>
      <w:r>
        <w:rPr>
          <w:rFonts w:hint="eastAsia" w:ascii="仿宋" w:hAnsi="仿宋" w:eastAsia="仿宋" w:cs="仿宋"/>
          <w:sz w:val="32"/>
          <w:szCs w:val="32"/>
        </w:rPr>
        <w:t>法律、法规以及招标文件规定其他情形。</w:t>
      </w:r>
    </w:p>
    <w:p w14:paraId="1C5C37C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20" w:leftChars="0"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五.定标</w:t>
      </w:r>
    </w:p>
    <w:p w14:paraId="10875B1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20" w:lef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评标委员会按照招标文件确定的评标方法、步骤、标准，对投标文件进行评审。评标结束后，对投标人的评审名次进行 排序，确定中标人或者推荐中标候选人。</w:t>
      </w:r>
    </w:p>
    <w:p w14:paraId="319ADE9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20" w:leftChars="0" w:firstLine="640" w:firstLineChars="200"/>
        <w:jc w:val="both"/>
        <w:textAlignment w:val="auto"/>
        <w:rPr>
          <w:rFonts w:hint="eastAsia" w:ascii="仿宋" w:hAnsi="仿宋" w:eastAsia="仿宋" w:cs="仿宋"/>
          <w:sz w:val="32"/>
          <w:szCs w:val="32"/>
        </w:rPr>
      </w:pPr>
    </w:p>
    <w:p w14:paraId="15EC7E5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_GBK" w:hAnsi="方正小标宋_GBK" w:eastAsia="方正小标宋_GBK" w:cs="方正小标宋_GBK"/>
          <w:b w:val="0"/>
          <w:bCs w:val="0"/>
          <w:kern w:val="2"/>
          <w:sz w:val="44"/>
          <w:szCs w:val="44"/>
          <w:lang w:val="en-US" w:eastAsia="zh-CN" w:bidi="ar-SA"/>
        </w:rPr>
      </w:pPr>
    </w:p>
    <w:p w14:paraId="13AAC0D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_GBK" w:hAnsi="方正小标宋_GBK" w:eastAsia="方正小标宋_GBK" w:cs="方正小标宋_GBK"/>
          <w:b w:val="0"/>
          <w:bCs w:val="0"/>
          <w:kern w:val="2"/>
          <w:sz w:val="44"/>
          <w:szCs w:val="44"/>
          <w:lang w:val="en-US" w:eastAsia="zh-CN" w:bidi="ar-SA"/>
        </w:rPr>
      </w:pPr>
    </w:p>
    <w:p w14:paraId="356C467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_GBK" w:hAnsi="方正小标宋_GBK" w:eastAsia="方正小标宋_GBK" w:cs="方正小标宋_GBK"/>
          <w:b w:val="0"/>
          <w:bCs w:val="0"/>
          <w:kern w:val="2"/>
          <w:sz w:val="44"/>
          <w:szCs w:val="44"/>
          <w:lang w:val="en-US" w:eastAsia="zh-CN" w:bidi="ar-SA"/>
        </w:rPr>
      </w:pPr>
    </w:p>
    <w:p w14:paraId="53C8D80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_GBK" w:hAnsi="方正小标宋_GBK" w:eastAsia="方正小标宋_GBK" w:cs="方正小标宋_GBK"/>
          <w:b w:val="0"/>
          <w:bCs w:val="0"/>
          <w:kern w:val="2"/>
          <w:sz w:val="44"/>
          <w:szCs w:val="44"/>
          <w:lang w:val="en-US" w:eastAsia="zh-CN" w:bidi="ar-SA"/>
        </w:rPr>
      </w:pPr>
    </w:p>
    <w:p w14:paraId="4B0C64B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_GBK" w:hAnsi="方正小标宋_GBK" w:eastAsia="方正小标宋_GBK" w:cs="方正小标宋_GBK"/>
          <w:b w:val="0"/>
          <w:bCs w:val="0"/>
          <w:kern w:val="2"/>
          <w:sz w:val="44"/>
          <w:szCs w:val="44"/>
          <w:lang w:val="en-US" w:eastAsia="zh-CN" w:bidi="ar-SA"/>
        </w:rPr>
      </w:pPr>
    </w:p>
    <w:p w14:paraId="6408C2B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_GBK" w:hAnsi="方正小标宋_GBK" w:eastAsia="方正小标宋_GBK" w:cs="方正小标宋_GBK"/>
          <w:b w:val="0"/>
          <w:bCs w:val="0"/>
          <w:kern w:val="2"/>
          <w:sz w:val="44"/>
          <w:szCs w:val="44"/>
          <w:lang w:val="en-US" w:eastAsia="zh-CN" w:bidi="ar-SA"/>
        </w:rPr>
      </w:pPr>
    </w:p>
    <w:p w14:paraId="772483E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_GBK" w:hAnsi="方正小标宋_GBK" w:eastAsia="方正小标宋_GBK" w:cs="方正小标宋_GBK"/>
          <w:b w:val="0"/>
          <w:bCs w:val="0"/>
          <w:kern w:val="2"/>
          <w:sz w:val="44"/>
          <w:szCs w:val="44"/>
          <w:lang w:val="en-US" w:eastAsia="zh-CN" w:bidi="ar-SA"/>
        </w:rPr>
      </w:pPr>
    </w:p>
    <w:p w14:paraId="7E19AA8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_GBK" w:hAnsi="方正小标宋_GBK" w:eastAsia="方正小标宋_GBK" w:cs="方正小标宋_GBK"/>
          <w:b w:val="0"/>
          <w:bCs w:val="0"/>
          <w:kern w:val="2"/>
          <w:sz w:val="44"/>
          <w:szCs w:val="44"/>
          <w:lang w:val="en-US" w:eastAsia="zh-CN" w:bidi="ar-SA"/>
        </w:rPr>
      </w:pPr>
    </w:p>
    <w:p w14:paraId="46DA39A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_GBK" w:hAnsi="方正小标宋_GBK" w:eastAsia="方正小标宋_GBK" w:cs="方正小标宋_GBK"/>
          <w:b w:val="0"/>
          <w:bCs w:val="0"/>
          <w:kern w:val="2"/>
          <w:sz w:val="44"/>
          <w:szCs w:val="44"/>
          <w:lang w:val="en-US" w:eastAsia="zh-CN" w:bidi="ar-SA"/>
        </w:rPr>
      </w:pPr>
    </w:p>
    <w:p w14:paraId="0C7D212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_GBK" w:hAnsi="方正小标宋_GBK" w:eastAsia="方正小标宋_GBK" w:cs="方正小标宋_GBK"/>
          <w:b w:val="0"/>
          <w:bCs w:val="0"/>
          <w:kern w:val="2"/>
          <w:sz w:val="44"/>
          <w:szCs w:val="44"/>
          <w:lang w:val="en-US" w:eastAsia="zh-CN" w:bidi="ar-SA"/>
        </w:rPr>
      </w:pPr>
    </w:p>
    <w:p w14:paraId="39831F7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_GBK" w:hAnsi="方正小标宋_GBK" w:eastAsia="方正小标宋_GBK" w:cs="方正小标宋_GBK"/>
          <w:b w:val="0"/>
          <w:bCs w:val="0"/>
          <w:kern w:val="2"/>
          <w:sz w:val="44"/>
          <w:szCs w:val="44"/>
          <w:lang w:val="en-US" w:eastAsia="zh-CN" w:bidi="ar-SA"/>
        </w:rPr>
      </w:pPr>
    </w:p>
    <w:p w14:paraId="70F034A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_GBK" w:hAnsi="方正小标宋_GBK" w:eastAsia="方正小标宋_GBK" w:cs="方正小标宋_GBK"/>
          <w:b w:val="0"/>
          <w:bCs w:val="0"/>
          <w:kern w:val="2"/>
          <w:sz w:val="44"/>
          <w:szCs w:val="44"/>
          <w:lang w:val="en-US" w:eastAsia="zh-CN" w:bidi="ar-SA"/>
        </w:rPr>
      </w:pPr>
    </w:p>
    <w:p w14:paraId="12F25DE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_GBK" w:hAnsi="方正小标宋_GBK" w:eastAsia="方正小标宋_GBK" w:cs="方正小标宋_GBK"/>
          <w:b w:val="0"/>
          <w:bCs w:val="0"/>
          <w:kern w:val="2"/>
          <w:sz w:val="44"/>
          <w:szCs w:val="44"/>
          <w:lang w:val="en-US" w:eastAsia="zh-CN" w:bidi="ar-SA"/>
        </w:rPr>
      </w:pPr>
    </w:p>
    <w:p w14:paraId="0D30488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_GBK" w:hAnsi="方正小标宋_GBK" w:eastAsia="方正小标宋_GBK" w:cs="方正小标宋_GBK"/>
          <w:b w:val="0"/>
          <w:bCs w:val="0"/>
          <w:kern w:val="2"/>
          <w:sz w:val="44"/>
          <w:szCs w:val="44"/>
          <w:lang w:val="en-US" w:eastAsia="zh-CN" w:bidi="ar-SA"/>
        </w:rPr>
      </w:pPr>
    </w:p>
    <w:p w14:paraId="441E90F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_GBK" w:hAnsi="方正小标宋_GBK" w:eastAsia="方正小标宋_GBK" w:cs="方正小标宋_GBK"/>
          <w:b w:val="0"/>
          <w:bCs w:val="0"/>
          <w:kern w:val="2"/>
          <w:sz w:val="44"/>
          <w:szCs w:val="44"/>
          <w:lang w:val="en-US" w:eastAsia="zh-CN" w:bidi="ar-SA"/>
        </w:rPr>
      </w:pPr>
    </w:p>
    <w:p w14:paraId="0FD2DC2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_GBK" w:hAnsi="方正小标宋_GBK" w:eastAsia="方正小标宋_GBK" w:cs="方正小标宋_GBK"/>
          <w:b w:val="0"/>
          <w:bCs w:val="0"/>
          <w:kern w:val="2"/>
          <w:sz w:val="44"/>
          <w:szCs w:val="44"/>
          <w:lang w:val="en-US" w:eastAsia="zh-CN" w:bidi="ar-SA"/>
        </w:rPr>
      </w:pPr>
    </w:p>
    <w:p w14:paraId="1E8D5C5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_GBK" w:hAnsi="方正小标宋_GBK" w:eastAsia="方正小标宋_GBK" w:cs="方正小标宋_GBK"/>
          <w:b w:val="0"/>
          <w:bCs w:val="0"/>
          <w:kern w:val="2"/>
          <w:sz w:val="44"/>
          <w:szCs w:val="44"/>
          <w:lang w:val="en-US" w:eastAsia="zh-CN" w:bidi="ar-SA"/>
        </w:rPr>
      </w:pPr>
    </w:p>
    <w:p w14:paraId="28530E5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_GBK" w:hAnsi="方正小标宋_GBK" w:eastAsia="方正小标宋_GBK" w:cs="方正小标宋_GBK"/>
          <w:b w:val="0"/>
          <w:bCs w:val="0"/>
          <w:kern w:val="2"/>
          <w:sz w:val="44"/>
          <w:szCs w:val="44"/>
          <w:lang w:val="en-US" w:eastAsia="zh-CN" w:bidi="ar-SA"/>
        </w:rPr>
      </w:pPr>
    </w:p>
    <w:p w14:paraId="1BD9BCA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_GBK" w:hAnsi="方正小标宋_GBK" w:eastAsia="方正小标宋_GBK" w:cs="方正小标宋_GBK"/>
          <w:b w:val="0"/>
          <w:bCs w:val="0"/>
          <w:kern w:val="2"/>
          <w:sz w:val="44"/>
          <w:szCs w:val="44"/>
          <w:lang w:val="en-US" w:eastAsia="zh-CN" w:bidi="ar-SA"/>
        </w:rPr>
      </w:pPr>
    </w:p>
    <w:p w14:paraId="2B9282E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_GBK" w:hAnsi="方正小标宋_GBK" w:eastAsia="方正小标宋_GBK" w:cs="方正小标宋_GBK"/>
          <w:b w:val="0"/>
          <w:bCs w:val="0"/>
          <w:kern w:val="2"/>
          <w:sz w:val="44"/>
          <w:szCs w:val="44"/>
          <w:lang w:val="en-US" w:eastAsia="zh-CN" w:bidi="ar-SA"/>
        </w:rPr>
      </w:pPr>
    </w:p>
    <w:p w14:paraId="509589C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_GBK" w:hAnsi="方正小标宋_GBK" w:eastAsia="方正小标宋_GBK" w:cs="方正小标宋_GBK"/>
          <w:b w:val="0"/>
          <w:bCs w:val="0"/>
          <w:kern w:val="2"/>
          <w:sz w:val="44"/>
          <w:szCs w:val="44"/>
          <w:lang w:val="en-US" w:eastAsia="zh-CN" w:bidi="ar-SA"/>
        </w:rPr>
      </w:pPr>
    </w:p>
    <w:p w14:paraId="589ECCA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_GBK" w:hAnsi="方正小标宋_GBK" w:eastAsia="方正小标宋_GBK" w:cs="方正小标宋_GBK"/>
          <w:b w:val="0"/>
          <w:bCs w:val="0"/>
          <w:kern w:val="2"/>
          <w:sz w:val="44"/>
          <w:szCs w:val="44"/>
          <w:lang w:val="en-US" w:eastAsia="zh-CN" w:bidi="ar-SA"/>
        </w:rPr>
      </w:pPr>
      <w:r>
        <w:rPr>
          <w:rFonts w:hint="eastAsia" w:ascii="方正小标宋_GBK" w:hAnsi="方正小标宋_GBK" w:eastAsia="方正小标宋_GBK" w:cs="方正小标宋_GBK"/>
          <w:b w:val="0"/>
          <w:bCs w:val="0"/>
          <w:kern w:val="2"/>
          <w:sz w:val="44"/>
          <w:szCs w:val="44"/>
          <w:lang w:val="en-US" w:eastAsia="zh-CN" w:bidi="ar-SA"/>
        </w:rPr>
        <w:t>第五章 评分标准</w:t>
      </w:r>
    </w:p>
    <w:p w14:paraId="03B4781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hint="default" w:ascii="方正小标宋_GBK" w:hAnsi="方正小标宋_GBK" w:eastAsia="方正小标宋_GBK" w:cs="方正小标宋_GBK"/>
          <w:b w:val="0"/>
          <w:bCs w:val="0"/>
          <w:kern w:val="2"/>
          <w:sz w:val="44"/>
          <w:szCs w:val="44"/>
          <w:lang w:val="en-US" w:eastAsia="zh-CN" w:bidi="ar-SA"/>
        </w:rPr>
      </w:pPr>
    </w:p>
    <w:tbl>
      <w:tblPr>
        <w:tblStyle w:val="3"/>
        <w:tblW w:w="9287" w:type="dxa"/>
        <w:jc w:val="center"/>
        <w:tblLayout w:type="fixed"/>
        <w:tblCellMar>
          <w:top w:w="0" w:type="dxa"/>
          <w:left w:w="108" w:type="dxa"/>
          <w:bottom w:w="0" w:type="dxa"/>
          <w:right w:w="108" w:type="dxa"/>
        </w:tblCellMar>
      </w:tblPr>
      <w:tblGrid>
        <w:gridCol w:w="1104"/>
        <w:gridCol w:w="795"/>
        <w:gridCol w:w="690"/>
        <w:gridCol w:w="6698"/>
      </w:tblGrid>
      <w:tr w14:paraId="12DB1698">
        <w:tblPrEx>
          <w:tblCellMar>
            <w:top w:w="0" w:type="dxa"/>
            <w:left w:w="108" w:type="dxa"/>
            <w:bottom w:w="0" w:type="dxa"/>
            <w:right w:w="108" w:type="dxa"/>
          </w:tblCellMar>
        </w:tblPrEx>
        <w:trPr>
          <w:trHeight w:val="405" w:hRule="atLeast"/>
          <w:jc w:val="center"/>
        </w:trPr>
        <w:tc>
          <w:tcPr>
            <w:tcW w:w="1104" w:type="dxa"/>
            <w:tcBorders>
              <w:top w:val="single" w:color="auto" w:sz="4" w:space="0"/>
              <w:left w:val="single" w:color="auto" w:sz="4" w:space="0"/>
              <w:bottom w:val="single" w:color="auto" w:sz="4" w:space="0"/>
              <w:right w:val="single" w:color="auto" w:sz="4" w:space="0"/>
            </w:tcBorders>
            <w:vAlign w:val="center"/>
          </w:tcPr>
          <w:p w14:paraId="54CCCFEB">
            <w:pPr>
              <w:keepNext w:val="0"/>
              <w:keepLines w:val="0"/>
              <w:pageBreakBefore w:val="0"/>
              <w:kinsoku/>
              <w:wordWrap/>
              <w:overflowPunct/>
              <w:topLinePunct w:val="0"/>
              <w:autoSpaceDE/>
              <w:autoSpaceDN/>
              <w:bidi w:val="0"/>
              <w:adjustRightInd/>
              <w:snapToGrid/>
              <w:spacing w:line="240" w:lineRule="atLeas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因素</w:t>
            </w:r>
          </w:p>
        </w:tc>
        <w:tc>
          <w:tcPr>
            <w:tcW w:w="795" w:type="dxa"/>
            <w:tcBorders>
              <w:top w:val="single" w:color="auto" w:sz="4" w:space="0"/>
              <w:left w:val="nil"/>
              <w:bottom w:val="single" w:color="auto" w:sz="4" w:space="0"/>
              <w:right w:val="single" w:color="auto" w:sz="4" w:space="0"/>
            </w:tcBorders>
            <w:vAlign w:val="center"/>
          </w:tcPr>
          <w:p w14:paraId="50515824">
            <w:pPr>
              <w:keepNext w:val="0"/>
              <w:keepLines w:val="0"/>
              <w:pageBreakBefore w:val="0"/>
              <w:kinsoku/>
              <w:wordWrap/>
              <w:overflowPunct/>
              <w:topLinePunct w:val="0"/>
              <w:autoSpaceDE/>
              <w:autoSpaceDN/>
              <w:bidi w:val="0"/>
              <w:adjustRightInd/>
              <w:snapToGrid/>
              <w:spacing w:line="240" w:lineRule="atLeast"/>
              <w:jc w:val="center"/>
              <w:textAlignment w:val="auto"/>
              <w:rPr>
                <w:rFonts w:hint="eastAsia" w:ascii="仿宋" w:hAnsi="仿宋" w:eastAsia="仿宋" w:cs="仿宋"/>
                <w:sz w:val="24"/>
                <w:szCs w:val="24"/>
              </w:rPr>
            </w:pPr>
            <w:r>
              <w:rPr>
                <w:rFonts w:hint="eastAsia" w:ascii="仿宋" w:hAnsi="仿宋" w:eastAsia="仿宋" w:cs="仿宋"/>
                <w:sz w:val="24"/>
                <w:szCs w:val="24"/>
              </w:rPr>
              <w:t>评分项目</w:t>
            </w:r>
          </w:p>
        </w:tc>
        <w:tc>
          <w:tcPr>
            <w:tcW w:w="690" w:type="dxa"/>
            <w:tcBorders>
              <w:top w:val="single" w:color="auto" w:sz="4" w:space="0"/>
              <w:left w:val="nil"/>
              <w:bottom w:val="single" w:color="auto" w:sz="4" w:space="0"/>
              <w:right w:val="single" w:color="auto" w:sz="4" w:space="0"/>
            </w:tcBorders>
            <w:vAlign w:val="center"/>
          </w:tcPr>
          <w:p w14:paraId="5BAF3AE3">
            <w:pPr>
              <w:keepNext w:val="0"/>
              <w:keepLines w:val="0"/>
              <w:pageBreakBefore w:val="0"/>
              <w:kinsoku/>
              <w:wordWrap/>
              <w:overflowPunct/>
              <w:topLinePunct w:val="0"/>
              <w:autoSpaceDE/>
              <w:autoSpaceDN/>
              <w:bidi w:val="0"/>
              <w:adjustRightInd/>
              <w:snapToGrid/>
              <w:spacing w:line="240" w:lineRule="atLeast"/>
              <w:jc w:val="center"/>
              <w:textAlignment w:val="auto"/>
              <w:rPr>
                <w:rFonts w:hint="eastAsia" w:ascii="仿宋" w:hAnsi="仿宋" w:eastAsia="仿宋" w:cs="仿宋"/>
                <w:sz w:val="24"/>
                <w:szCs w:val="24"/>
              </w:rPr>
            </w:pPr>
            <w:r>
              <w:rPr>
                <w:rFonts w:hint="eastAsia" w:ascii="仿宋" w:hAnsi="仿宋" w:eastAsia="仿宋" w:cs="仿宋"/>
                <w:sz w:val="24"/>
                <w:szCs w:val="24"/>
              </w:rPr>
              <w:t>分值</w:t>
            </w:r>
          </w:p>
        </w:tc>
        <w:tc>
          <w:tcPr>
            <w:tcW w:w="6698" w:type="dxa"/>
            <w:tcBorders>
              <w:top w:val="single" w:color="auto" w:sz="4" w:space="0"/>
              <w:left w:val="nil"/>
              <w:bottom w:val="single" w:color="auto" w:sz="4" w:space="0"/>
              <w:right w:val="single" w:color="auto" w:sz="4" w:space="0"/>
            </w:tcBorders>
            <w:vAlign w:val="center"/>
          </w:tcPr>
          <w:p w14:paraId="6C730030">
            <w:pPr>
              <w:keepNext w:val="0"/>
              <w:keepLines w:val="0"/>
              <w:pageBreakBefore w:val="0"/>
              <w:kinsoku/>
              <w:wordWrap/>
              <w:overflowPunct/>
              <w:topLinePunct w:val="0"/>
              <w:autoSpaceDE/>
              <w:autoSpaceDN/>
              <w:bidi w:val="0"/>
              <w:adjustRightInd/>
              <w:snapToGrid/>
              <w:spacing w:line="240" w:lineRule="atLeast"/>
              <w:jc w:val="center"/>
              <w:textAlignment w:val="auto"/>
              <w:rPr>
                <w:rFonts w:hint="eastAsia" w:ascii="仿宋" w:hAnsi="仿宋" w:eastAsia="仿宋" w:cs="仿宋"/>
                <w:sz w:val="24"/>
                <w:szCs w:val="24"/>
              </w:rPr>
            </w:pPr>
            <w:r>
              <w:rPr>
                <w:rFonts w:hint="eastAsia" w:ascii="仿宋" w:hAnsi="仿宋" w:eastAsia="仿宋" w:cs="仿宋"/>
                <w:sz w:val="24"/>
                <w:szCs w:val="24"/>
              </w:rPr>
              <w:t>评分标准</w:t>
            </w:r>
          </w:p>
        </w:tc>
      </w:tr>
      <w:tr w14:paraId="2FC34F33">
        <w:tblPrEx>
          <w:tblCellMar>
            <w:top w:w="0" w:type="dxa"/>
            <w:left w:w="108" w:type="dxa"/>
            <w:bottom w:w="0" w:type="dxa"/>
            <w:right w:w="108" w:type="dxa"/>
          </w:tblCellMar>
        </w:tblPrEx>
        <w:trPr>
          <w:trHeight w:val="1305" w:hRule="atLeast"/>
          <w:jc w:val="center"/>
        </w:trPr>
        <w:tc>
          <w:tcPr>
            <w:tcW w:w="1104" w:type="dxa"/>
            <w:tcBorders>
              <w:top w:val="nil"/>
              <w:left w:val="single" w:color="auto" w:sz="4" w:space="0"/>
              <w:bottom w:val="single" w:color="auto" w:sz="4" w:space="0"/>
              <w:right w:val="single" w:color="auto" w:sz="4" w:space="0"/>
            </w:tcBorders>
            <w:vAlign w:val="center"/>
          </w:tcPr>
          <w:p w14:paraId="133A8D96">
            <w:pPr>
              <w:keepNext w:val="0"/>
              <w:keepLines w:val="0"/>
              <w:pageBreakBefore w:val="0"/>
              <w:kinsoku/>
              <w:wordWrap/>
              <w:overflowPunct/>
              <w:topLinePunct w:val="0"/>
              <w:autoSpaceDE/>
              <w:autoSpaceDN/>
              <w:bidi w:val="0"/>
              <w:adjustRightInd/>
              <w:snapToGrid/>
              <w:spacing w:line="240" w:lineRule="atLeas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价格</w:t>
            </w:r>
          </w:p>
          <w:p w14:paraId="79FE8115">
            <w:pPr>
              <w:keepNext w:val="0"/>
              <w:keepLines w:val="0"/>
              <w:pageBreakBefore w:val="0"/>
              <w:kinsoku/>
              <w:wordWrap/>
              <w:overflowPunct/>
              <w:topLinePunct w:val="0"/>
              <w:autoSpaceDE/>
              <w:autoSpaceDN/>
              <w:bidi w:val="0"/>
              <w:adjustRightInd/>
              <w:snapToGrid/>
              <w:spacing w:line="240" w:lineRule="atLeast"/>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（50分）</w:t>
            </w:r>
          </w:p>
        </w:tc>
        <w:tc>
          <w:tcPr>
            <w:tcW w:w="795" w:type="dxa"/>
            <w:tcBorders>
              <w:top w:val="nil"/>
              <w:left w:val="nil"/>
              <w:bottom w:val="single" w:color="auto" w:sz="4" w:space="0"/>
              <w:right w:val="single" w:color="auto" w:sz="4" w:space="0"/>
            </w:tcBorders>
            <w:vAlign w:val="center"/>
          </w:tcPr>
          <w:p w14:paraId="33AB07DA">
            <w:pPr>
              <w:keepNext w:val="0"/>
              <w:keepLines w:val="0"/>
              <w:pageBreakBefore w:val="0"/>
              <w:kinsoku/>
              <w:wordWrap/>
              <w:overflowPunct/>
              <w:topLinePunct w:val="0"/>
              <w:autoSpaceDE/>
              <w:autoSpaceDN/>
              <w:bidi w:val="0"/>
              <w:adjustRightInd/>
              <w:snapToGrid/>
              <w:spacing w:line="240" w:lineRule="atLeas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投标</w:t>
            </w:r>
            <w:r>
              <w:rPr>
                <w:rFonts w:hint="eastAsia" w:ascii="仿宋" w:hAnsi="仿宋" w:eastAsia="仿宋" w:cs="仿宋"/>
                <w:sz w:val="24"/>
                <w:szCs w:val="24"/>
              </w:rPr>
              <w:t>报价</w:t>
            </w:r>
          </w:p>
        </w:tc>
        <w:tc>
          <w:tcPr>
            <w:tcW w:w="690" w:type="dxa"/>
            <w:tcBorders>
              <w:top w:val="nil"/>
              <w:left w:val="nil"/>
              <w:bottom w:val="single" w:color="auto" w:sz="4" w:space="0"/>
              <w:right w:val="single" w:color="auto" w:sz="4" w:space="0"/>
            </w:tcBorders>
            <w:vAlign w:val="center"/>
          </w:tcPr>
          <w:p w14:paraId="43590E89">
            <w:pPr>
              <w:keepNext w:val="0"/>
              <w:keepLines w:val="0"/>
              <w:pageBreakBefore w:val="0"/>
              <w:kinsoku/>
              <w:wordWrap/>
              <w:overflowPunct/>
              <w:topLinePunct w:val="0"/>
              <w:autoSpaceDE/>
              <w:autoSpaceDN/>
              <w:bidi w:val="0"/>
              <w:adjustRightInd/>
              <w:snapToGrid/>
              <w:spacing w:line="240" w:lineRule="atLeas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50</w:t>
            </w:r>
          </w:p>
        </w:tc>
        <w:tc>
          <w:tcPr>
            <w:tcW w:w="6698" w:type="dxa"/>
            <w:tcBorders>
              <w:top w:val="nil"/>
              <w:left w:val="nil"/>
              <w:bottom w:val="single" w:color="auto" w:sz="4" w:space="0"/>
              <w:right w:val="single" w:color="auto" w:sz="4" w:space="0"/>
            </w:tcBorders>
            <w:vAlign w:val="center"/>
          </w:tcPr>
          <w:p w14:paraId="4A8F7D87">
            <w:pPr>
              <w:keepNext w:val="0"/>
              <w:keepLines w:val="0"/>
              <w:pageBreakBefore w:val="0"/>
              <w:kinsoku/>
              <w:wordWrap/>
              <w:overflowPunct/>
              <w:topLinePunct w:val="0"/>
              <w:autoSpaceDE/>
              <w:autoSpaceDN/>
              <w:bidi w:val="0"/>
              <w:adjustRightInd/>
              <w:snapToGrid/>
              <w:spacing w:line="240" w:lineRule="atLeast"/>
              <w:textAlignment w:val="auto"/>
              <w:rPr>
                <w:rFonts w:hint="eastAsia" w:ascii="仿宋" w:hAnsi="仿宋" w:eastAsia="仿宋" w:cs="仿宋"/>
                <w:sz w:val="24"/>
                <w:szCs w:val="24"/>
              </w:rPr>
            </w:pPr>
            <w:r>
              <w:rPr>
                <w:rFonts w:hint="eastAsia" w:ascii="仿宋" w:hAnsi="仿宋" w:eastAsia="仿宋" w:cs="仿宋"/>
                <w:sz w:val="24"/>
                <w:szCs w:val="24"/>
              </w:rPr>
              <w:t>投标人报价得分＝（评标基准价/投标报价）×</w:t>
            </w:r>
            <w:r>
              <w:rPr>
                <w:rFonts w:hint="eastAsia" w:ascii="仿宋" w:hAnsi="仿宋" w:eastAsia="仿宋" w:cs="仿宋"/>
                <w:sz w:val="24"/>
                <w:szCs w:val="24"/>
                <w:lang w:val="en-US" w:eastAsia="zh-CN"/>
              </w:rPr>
              <w:t>50</w:t>
            </w:r>
            <w:r>
              <w:rPr>
                <w:rFonts w:hint="eastAsia" w:ascii="仿宋" w:hAnsi="仿宋" w:eastAsia="仿宋" w:cs="仿宋"/>
                <w:sz w:val="24"/>
                <w:szCs w:val="24"/>
              </w:rPr>
              <w:t>%。</w:t>
            </w:r>
          </w:p>
          <w:p w14:paraId="7DCF8320">
            <w:pPr>
              <w:keepNext w:val="0"/>
              <w:keepLines w:val="0"/>
              <w:pageBreakBefore w:val="0"/>
              <w:kinsoku/>
              <w:wordWrap/>
              <w:overflowPunct/>
              <w:topLinePunct w:val="0"/>
              <w:autoSpaceDE/>
              <w:autoSpaceDN/>
              <w:bidi w:val="0"/>
              <w:adjustRightInd/>
              <w:snapToGrid/>
              <w:spacing w:line="240" w:lineRule="atLeast"/>
              <w:textAlignment w:val="auto"/>
              <w:rPr>
                <w:rFonts w:hint="eastAsia" w:ascii="仿宋" w:hAnsi="仿宋" w:eastAsia="仿宋" w:cs="仿宋"/>
                <w:sz w:val="24"/>
                <w:szCs w:val="24"/>
              </w:rPr>
            </w:pPr>
            <w:r>
              <w:rPr>
                <w:rFonts w:hint="eastAsia" w:ascii="仿宋" w:hAnsi="仿宋" w:eastAsia="仿宋" w:cs="仿宋"/>
                <w:sz w:val="24"/>
                <w:szCs w:val="24"/>
              </w:rPr>
              <w:t>注解：</w:t>
            </w:r>
          </w:p>
          <w:p w14:paraId="1CE64FB9">
            <w:pPr>
              <w:keepNext w:val="0"/>
              <w:keepLines w:val="0"/>
              <w:pageBreakBefore w:val="0"/>
              <w:kinsoku/>
              <w:wordWrap/>
              <w:overflowPunct/>
              <w:topLinePunct w:val="0"/>
              <w:autoSpaceDE/>
              <w:autoSpaceDN/>
              <w:bidi w:val="0"/>
              <w:adjustRightInd/>
              <w:snapToGrid/>
              <w:spacing w:line="240" w:lineRule="atLeast"/>
              <w:textAlignment w:val="auto"/>
              <w:rPr>
                <w:rFonts w:hint="eastAsia" w:ascii="仿宋" w:hAnsi="仿宋" w:eastAsia="仿宋" w:cs="仿宋"/>
                <w:sz w:val="24"/>
                <w:szCs w:val="24"/>
              </w:rPr>
            </w:pPr>
            <w:r>
              <w:rPr>
                <w:rFonts w:hint="eastAsia" w:ascii="仿宋" w:hAnsi="仿宋" w:eastAsia="仿宋" w:cs="仿宋"/>
                <w:sz w:val="24"/>
                <w:szCs w:val="24"/>
                <w:lang w:eastAsia="zh-CN"/>
              </w:rPr>
              <w:t>1.</w:t>
            </w:r>
            <w:r>
              <w:rPr>
                <w:rFonts w:hint="eastAsia" w:ascii="仿宋" w:hAnsi="仿宋" w:eastAsia="仿宋" w:cs="仿宋"/>
                <w:sz w:val="24"/>
                <w:szCs w:val="24"/>
              </w:rPr>
              <w:t>评标基准价为满足招标文件要求且投标价格最低的报价；</w:t>
            </w:r>
          </w:p>
          <w:p w14:paraId="6ABB5546">
            <w:pPr>
              <w:keepNext w:val="0"/>
              <w:keepLines w:val="0"/>
              <w:pageBreakBefore w:val="0"/>
              <w:kinsoku/>
              <w:wordWrap/>
              <w:overflowPunct/>
              <w:topLinePunct w:val="0"/>
              <w:autoSpaceDE/>
              <w:autoSpaceDN/>
              <w:bidi w:val="0"/>
              <w:adjustRightInd/>
              <w:snapToGrid/>
              <w:spacing w:line="240" w:lineRule="atLeast"/>
              <w:textAlignment w:val="auto"/>
              <w:rPr>
                <w:rFonts w:hint="eastAsia" w:ascii="仿宋" w:hAnsi="仿宋" w:eastAsia="仿宋" w:cs="仿宋"/>
                <w:sz w:val="24"/>
                <w:szCs w:val="24"/>
              </w:rPr>
            </w:pPr>
            <w:r>
              <w:rPr>
                <w:rFonts w:hint="eastAsia" w:ascii="仿宋" w:hAnsi="仿宋" w:eastAsia="仿宋" w:cs="仿宋"/>
                <w:sz w:val="24"/>
                <w:szCs w:val="24"/>
                <w:lang w:eastAsia="zh-CN"/>
              </w:rPr>
              <w:t>2.</w:t>
            </w:r>
            <w:r>
              <w:rPr>
                <w:rFonts w:hint="eastAsia" w:ascii="仿宋" w:hAnsi="仿宋" w:eastAsia="仿宋" w:cs="仿宋"/>
                <w:sz w:val="24"/>
                <w:szCs w:val="24"/>
              </w:rPr>
              <w:t>投标人报价为投标函中投标总价。</w:t>
            </w:r>
          </w:p>
        </w:tc>
      </w:tr>
      <w:tr w14:paraId="01B950DD">
        <w:tblPrEx>
          <w:tblCellMar>
            <w:top w:w="0" w:type="dxa"/>
            <w:left w:w="108" w:type="dxa"/>
            <w:bottom w:w="0" w:type="dxa"/>
            <w:right w:w="108" w:type="dxa"/>
          </w:tblCellMar>
        </w:tblPrEx>
        <w:trPr>
          <w:trHeight w:val="322" w:hRule="atLeast"/>
          <w:jc w:val="center"/>
        </w:trPr>
        <w:tc>
          <w:tcPr>
            <w:tcW w:w="1104" w:type="dxa"/>
            <w:vMerge w:val="restart"/>
            <w:tcBorders>
              <w:top w:val="nil"/>
              <w:left w:val="single" w:color="auto" w:sz="4" w:space="0"/>
              <w:right w:val="single" w:color="auto" w:sz="4" w:space="0"/>
            </w:tcBorders>
            <w:vAlign w:val="center"/>
          </w:tcPr>
          <w:p w14:paraId="7BABADAB">
            <w:pPr>
              <w:keepNext w:val="0"/>
              <w:keepLines w:val="0"/>
              <w:pageBreakBefore w:val="0"/>
              <w:kinsoku/>
              <w:wordWrap/>
              <w:overflowPunct/>
              <w:topLinePunct w:val="0"/>
              <w:autoSpaceDE/>
              <w:autoSpaceDN/>
              <w:bidi w:val="0"/>
              <w:adjustRightInd/>
              <w:snapToGrid/>
              <w:spacing w:line="240" w:lineRule="atLeas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技术</w:t>
            </w:r>
          </w:p>
          <w:p w14:paraId="72C21929">
            <w:pPr>
              <w:keepNext w:val="0"/>
              <w:keepLines w:val="0"/>
              <w:pageBreakBefore w:val="0"/>
              <w:kinsoku/>
              <w:wordWrap/>
              <w:overflowPunct/>
              <w:topLinePunct w:val="0"/>
              <w:autoSpaceDE/>
              <w:autoSpaceDN/>
              <w:bidi w:val="0"/>
              <w:adjustRightInd/>
              <w:snapToGrid/>
              <w:spacing w:line="240" w:lineRule="atLeas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（20分）</w:t>
            </w:r>
          </w:p>
        </w:tc>
        <w:tc>
          <w:tcPr>
            <w:tcW w:w="795" w:type="dxa"/>
            <w:tcBorders>
              <w:top w:val="nil"/>
              <w:left w:val="nil"/>
              <w:bottom w:val="single" w:color="auto" w:sz="4" w:space="0"/>
              <w:right w:val="single" w:color="auto" w:sz="4" w:space="0"/>
            </w:tcBorders>
            <w:vAlign w:val="center"/>
          </w:tcPr>
          <w:p w14:paraId="1B4C3E98">
            <w:pPr>
              <w:keepNext w:val="0"/>
              <w:keepLines w:val="0"/>
              <w:pageBreakBefore w:val="0"/>
              <w:kinsoku/>
              <w:wordWrap/>
              <w:overflowPunct/>
              <w:topLinePunct w:val="0"/>
              <w:autoSpaceDE/>
              <w:autoSpaceDN/>
              <w:bidi w:val="0"/>
              <w:adjustRightInd/>
              <w:snapToGrid/>
              <w:spacing w:line="240" w:lineRule="atLeast"/>
              <w:textAlignment w:val="auto"/>
              <w:rPr>
                <w:rFonts w:hint="eastAsia" w:ascii="仿宋" w:hAnsi="仿宋" w:eastAsia="仿宋" w:cs="仿宋"/>
                <w:sz w:val="24"/>
                <w:szCs w:val="24"/>
                <w:lang w:val="en-US"/>
              </w:rPr>
            </w:pPr>
            <w:r>
              <w:rPr>
                <w:rFonts w:hint="eastAsia" w:ascii="仿宋" w:hAnsi="仿宋" w:eastAsia="仿宋" w:cs="仿宋"/>
                <w:sz w:val="24"/>
                <w:szCs w:val="24"/>
                <w:lang w:val="en-US" w:eastAsia="zh-CN"/>
              </w:rPr>
              <w:t>产品质量与符合性</w:t>
            </w:r>
          </w:p>
        </w:tc>
        <w:tc>
          <w:tcPr>
            <w:tcW w:w="690" w:type="dxa"/>
            <w:tcBorders>
              <w:top w:val="nil"/>
              <w:left w:val="nil"/>
              <w:bottom w:val="single" w:color="auto" w:sz="4" w:space="0"/>
              <w:right w:val="single" w:color="auto" w:sz="4" w:space="0"/>
            </w:tcBorders>
            <w:vAlign w:val="center"/>
          </w:tcPr>
          <w:p w14:paraId="570A1B11">
            <w:pPr>
              <w:keepNext w:val="0"/>
              <w:keepLines w:val="0"/>
              <w:pageBreakBefore w:val="0"/>
              <w:kinsoku/>
              <w:wordWrap/>
              <w:overflowPunct/>
              <w:topLinePunct w:val="0"/>
              <w:autoSpaceDE/>
              <w:autoSpaceDN/>
              <w:bidi w:val="0"/>
              <w:adjustRightInd/>
              <w:snapToGrid/>
              <w:spacing w:line="240" w:lineRule="atLeast"/>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10</w:t>
            </w:r>
          </w:p>
        </w:tc>
        <w:tc>
          <w:tcPr>
            <w:tcW w:w="6698" w:type="dxa"/>
            <w:tcBorders>
              <w:top w:val="nil"/>
              <w:left w:val="nil"/>
              <w:bottom w:val="single" w:color="auto" w:sz="4" w:space="0"/>
              <w:right w:val="single" w:color="auto" w:sz="4" w:space="0"/>
            </w:tcBorders>
            <w:vAlign w:val="center"/>
          </w:tcPr>
          <w:p w14:paraId="019F6031">
            <w:pPr>
              <w:keepNext w:val="0"/>
              <w:keepLines w:val="0"/>
              <w:pageBreakBefore w:val="0"/>
              <w:kinsoku/>
              <w:wordWrap/>
              <w:overflowPunct/>
              <w:topLinePunct w:val="0"/>
              <w:autoSpaceDE/>
              <w:autoSpaceDN/>
              <w:bidi w:val="0"/>
              <w:adjustRightInd/>
              <w:snapToGrid/>
              <w:spacing w:line="240" w:lineRule="atLeast"/>
              <w:textAlignment w:val="auto"/>
              <w:rPr>
                <w:rFonts w:hint="eastAsia" w:ascii="仿宋" w:hAnsi="仿宋" w:eastAsia="仿宋" w:cs="仿宋"/>
                <w:sz w:val="24"/>
                <w:szCs w:val="24"/>
              </w:rPr>
            </w:pPr>
            <w:r>
              <w:rPr>
                <w:rFonts w:hint="eastAsia" w:ascii="仿宋" w:hAnsi="仿宋" w:eastAsia="仿宋" w:cs="仿宋"/>
                <w:sz w:val="24"/>
                <w:szCs w:val="24"/>
              </w:rPr>
              <w:t>投标人须根据招标文件提供的《易损件需求清单》逐项响应，列明所投产品的品牌、型号、技术参数/规格。</w:t>
            </w:r>
          </w:p>
          <w:p w14:paraId="1FB381FC">
            <w:pPr>
              <w:keepNext w:val="0"/>
              <w:keepLines w:val="0"/>
              <w:pageBreakBefore w:val="0"/>
              <w:kinsoku/>
              <w:wordWrap/>
              <w:overflowPunct/>
              <w:topLinePunct w:val="0"/>
              <w:autoSpaceDE/>
              <w:autoSpaceDN/>
              <w:bidi w:val="0"/>
              <w:adjustRightInd/>
              <w:snapToGrid/>
              <w:spacing w:line="240" w:lineRule="atLeas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所投产品技术参数/规格须全部满足清单中的要求。‌</w:t>
            </w:r>
          </w:p>
          <w:p w14:paraId="722E9FE7">
            <w:pPr>
              <w:keepNext w:val="0"/>
              <w:keepLines w:val="0"/>
              <w:pageBreakBefore w:val="0"/>
              <w:kinsoku/>
              <w:wordWrap/>
              <w:overflowPunct/>
              <w:topLinePunct w:val="0"/>
              <w:autoSpaceDE/>
              <w:autoSpaceDN/>
              <w:bidi w:val="0"/>
              <w:adjustRightInd/>
              <w:snapToGrid/>
              <w:spacing w:line="240" w:lineRule="atLeas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全部满足得</w:t>
            </w:r>
            <w:r>
              <w:rPr>
                <w:rFonts w:hint="eastAsia" w:ascii="仿宋" w:hAnsi="仿宋" w:eastAsia="仿宋" w:cs="仿宋"/>
                <w:sz w:val="24"/>
                <w:szCs w:val="24"/>
                <w:lang w:val="en-US" w:eastAsia="zh-CN"/>
              </w:rPr>
              <w:t>10</w:t>
            </w:r>
            <w:r>
              <w:rPr>
                <w:rFonts w:hint="eastAsia" w:ascii="仿宋" w:hAnsi="仿宋" w:eastAsia="仿宋" w:cs="仿宋"/>
                <w:sz w:val="24"/>
                <w:szCs w:val="24"/>
              </w:rPr>
              <w:t>分。清单中标注为“关键参数”的，每有一项不满足扣</w:t>
            </w:r>
            <w:r>
              <w:rPr>
                <w:rFonts w:hint="eastAsia" w:ascii="仿宋" w:hAnsi="仿宋" w:eastAsia="仿宋" w:cs="仿宋"/>
                <w:sz w:val="24"/>
                <w:szCs w:val="24"/>
                <w:lang w:val="en-US" w:eastAsia="zh-CN"/>
              </w:rPr>
              <w:t>2</w:t>
            </w:r>
            <w:r>
              <w:rPr>
                <w:rFonts w:hint="eastAsia" w:ascii="仿宋" w:hAnsi="仿宋" w:eastAsia="仿宋" w:cs="仿宋"/>
                <w:sz w:val="24"/>
                <w:szCs w:val="24"/>
              </w:rPr>
              <w:t>分；未标注的“一般参数”，每有一项不满足扣1分，扣完为止。‌</w:t>
            </w:r>
          </w:p>
        </w:tc>
      </w:tr>
      <w:tr w14:paraId="672E10AA">
        <w:tblPrEx>
          <w:tblCellMar>
            <w:top w:w="0" w:type="dxa"/>
            <w:left w:w="108" w:type="dxa"/>
            <w:bottom w:w="0" w:type="dxa"/>
            <w:right w:w="108" w:type="dxa"/>
          </w:tblCellMar>
        </w:tblPrEx>
        <w:trPr>
          <w:trHeight w:val="975" w:hRule="atLeast"/>
          <w:jc w:val="center"/>
        </w:trPr>
        <w:tc>
          <w:tcPr>
            <w:tcW w:w="1104" w:type="dxa"/>
            <w:vMerge w:val="continue"/>
            <w:tcBorders>
              <w:left w:val="single" w:color="auto" w:sz="4" w:space="0"/>
              <w:right w:val="single" w:color="auto" w:sz="4" w:space="0"/>
            </w:tcBorders>
            <w:vAlign w:val="center"/>
          </w:tcPr>
          <w:p w14:paraId="3D5FF026">
            <w:pPr>
              <w:keepNext w:val="0"/>
              <w:keepLines w:val="0"/>
              <w:pageBreakBefore w:val="0"/>
              <w:kinsoku/>
              <w:wordWrap/>
              <w:overflowPunct/>
              <w:topLinePunct w:val="0"/>
              <w:autoSpaceDE/>
              <w:autoSpaceDN/>
              <w:bidi w:val="0"/>
              <w:adjustRightInd/>
              <w:snapToGrid/>
              <w:spacing w:line="240" w:lineRule="atLeast"/>
              <w:jc w:val="center"/>
              <w:textAlignment w:val="auto"/>
              <w:rPr>
                <w:rFonts w:hint="eastAsia" w:ascii="仿宋" w:hAnsi="仿宋" w:eastAsia="仿宋" w:cs="仿宋"/>
                <w:sz w:val="24"/>
                <w:szCs w:val="24"/>
              </w:rPr>
            </w:pPr>
          </w:p>
        </w:tc>
        <w:tc>
          <w:tcPr>
            <w:tcW w:w="795" w:type="dxa"/>
            <w:tcBorders>
              <w:top w:val="nil"/>
              <w:left w:val="nil"/>
              <w:bottom w:val="single" w:color="auto" w:sz="4" w:space="0"/>
              <w:right w:val="single" w:color="auto" w:sz="4" w:space="0"/>
            </w:tcBorders>
            <w:vAlign w:val="center"/>
          </w:tcPr>
          <w:p w14:paraId="441647FD">
            <w:pPr>
              <w:keepNext w:val="0"/>
              <w:keepLines w:val="0"/>
              <w:pageBreakBefore w:val="0"/>
              <w:kinsoku/>
              <w:wordWrap/>
              <w:overflowPunct/>
              <w:topLinePunct w:val="0"/>
              <w:autoSpaceDE/>
              <w:autoSpaceDN/>
              <w:bidi w:val="0"/>
              <w:adjustRightInd/>
              <w:snapToGrid/>
              <w:spacing w:line="240" w:lineRule="atLeas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响应时效</w:t>
            </w:r>
          </w:p>
        </w:tc>
        <w:tc>
          <w:tcPr>
            <w:tcW w:w="690" w:type="dxa"/>
            <w:tcBorders>
              <w:top w:val="nil"/>
              <w:left w:val="nil"/>
              <w:bottom w:val="single" w:color="auto" w:sz="4" w:space="0"/>
              <w:right w:val="single" w:color="auto" w:sz="4" w:space="0"/>
            </w:tcBorders>
            <w:vAlign w:val="center"/>
          </w:tcPr>
          <w:p w14:paraId="25D49BA4">
            <w:pPr>
              <w:keepNext w:val="0"/>
              <w:keepLines w:val="0"/>
              <w:pageBreakBefore w:val="0"/>
              <w:kinsoku/>
              <w:wordWrap/>
              <w:overflowPunct/>
              <w:topLinePunct w:val="0"/>
              <w:autoSpaceDE/>
              <w:autoSpaceDN/>
              <w:bidi w:val="0"/>
              <w:adjustRightInd/>
              <w:snapToGrid/>
              <w:spacing w:line="240" w:lineRule="atLeast"/>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5</w:t>
            </w:r>
          </w:p>
        </w:tc>
        <w:tc>
          <w:tcPr>
            <w:tcW w:w="6698" w:type="dxa"/>
            <w:tcBorders>
              <w:top w:val="nil"/>
              <w:left w:val="nil"/>
              <w:bottom w:val="single" w:color="auto" w:sz="4" w:space="0"/>
              <w:right w:val="single" w:color="auto" w:sz="4" w:space="0"/>
            </w:tcBorders>
            <w:vAlign w:val="center"/>
          </w:tcPr>
          <w:p w14:paraId="345CCCEB">
            <w:pPr>
              <w:keepNext w:val="0"/>
              <w:keepLines w:val="0"/>
              <w:pageBreakBefore w:val="0"/>
              <w:kinsoku/>
              <w:wordWrap/>
              <w:overflowPunct/>
              <w:topLinePunct w:val="0"/>
              <w:autoSpaceDE/>
              <w:autoSpaceDN/>
              <w:bidi w:val="0"/>
              <w:adjustRightInd/>
              <w:snapToGrid/>
              <w:spacing w:line="240" w:lineRule="atLeast"/>
              <w:textAlignment w:val="auto"/>
              <w:rPr>
                <w:rFonts w:hint="eastAsia" w:ascii="仿宋" w:hAnsi="仿宋" w:eastAsia="仿宋" w:cs="仿宋"/>
                <w:sz w:val="24"/>
                <w:szCs w:val="24"/>
              </w:rPr>
            </w:pPr>
            <w:r>
              <w:rPr>
                <w:rFonts w:hint="eastAsia" w:ascii="仿宋" w:hAnsi="仿宋" w:eastAsia="仿宋" w:cs="仿宋"/>
                <w:sz w:val="24"/>
                <w:szCs w:val="24"/>
              </w:rPr>
              <w:t>根据投标人承诺的订单响应时间评审。承诺常规订单（清单内产品）24小时内送达得</w:t>
            </w:r>
            <w:r>
              <w:rPr>
                <w:rFonts w:hint="eastAsia" w:ascii="仿宋" w:hAnsi="仿宋" w:eastAsia="仿宋" w:cs="仿宋"/>
                <w:sz w:val="24"/>
                <w:szCs w:val="24"/>
                <w:lang w:val="en-US" w:eastAsia="zh-CN"/>
              </w:rPr>
              <w:t>5</w:t>
            </w:r>
            <w:r>
              <w:rPr>
                <w:rFonts w:hint="eastAsia" w:ascii="仿宋" w:hAnsi="仿宋" w:eastAsia="仿宋" w:cs="仿宋"/>
                <w:sz w:val="24"/>
                <w:szCs w:val="24"/>
              </w:rPr>
              <w:t>分；承诺48小时内送达得</w:t>
            </w:r>
            <w:r>
              <w:rPr>
                <w:rFonts w:hint="eastAsia" w:ascii="仿宋" w:hAnsi="仿宋" w:eastAsia="仿宋" w:cs="仿宋"/>
                <w:sz w:val="24"/>
                <w:szCs w:val="24"/>
                <w:lang w:val="en-US" w:eastAsia="zh-CN"/>
              </w:rPr>
              <w:t>3</w:t>
            </w:r>
            <w:r>
              <w:rPr>
                <w:rFonts w:hint="eastAsia" w:ascii="仿宋" w:hAnsi="仿宋" w:eastAsia="仿宋" w:cs="仿宋"/>
                <w:sz w:val="24"/>
                <w:szCs w:val="24"/>
              </w:rPr>
              <w:t>分；承诺72小时内送达得</w:t>
            </w:r>
            <w:r>
              <w:rPr>
                <w:rFonts w:hint="eastAsia" w:ascii="仿宋" w:hAnsi="仿宋" w:eastAsia="仿宋" w:cs="仿宋"/>
                <w:sz w:val="24"/>
                <w:szCs w:val="24"/>
                <w:lang w:val="en-US" w:eastAsia="zh-CN"/>
              </w:rPr>
              <w:t>1</w:t>
            </w:r>
            <w:r>
              <w:rPr>
                <w:rFonts w:hint="eastAsia" w:ascii="仿宋" w:hAnsi="仿宋" w:eastAsia="仿宋" w:cs="仿宋"/>
                <w:sz w:val="24"/>
                <w:szCs w:val="24"/>
              </w:rPr>
              <w:t>分；未承诺或承诺时间超过72小时不得分。</w:t>
            </w:r>
          </w:p>
        </w:tc>
      </w:tr>
      <w:tr w14:paraId="13F164CA">
        <w:tblPrEx>
          <w:tblCellMar>
            <w:top w:w="0" w:type="dxa"/>
            <w:left w:w="108" w:type="dxa"/>
            <w:bottom w:w="0" w:type="dxa"/>
            <w:right w:w="108" w:type="dxa"/>
          </w:tblCellMar>
        </w:tblPrEx>
        <w:trPr>
          <w:trHeight w:val="320" w:hRule="atLeast"/>
          <w:jc w:val="center"/>
        </w:trPr>
        <w:tc>
          <w:tcPr>
            <w:tcW w:w="1104" w:type="dxa"/>
            <w:vMerge w:val="continue"/>
            <w:tcBorders>
              <w:left w:val="single" w:color="auto" w:sz="4" w:space="0"/>
              <w:bottom w:val="single" w:color="auto" w:sz="4" w:space="0"/>
              <w:right w:val="single" w:color="auto" w:sz="4" w:space="0"/>
            </w:tcBorders>
            <w:vAlign w:val="center"/>
          </w:tcPr>
          <w:p w14:paraId="6D422A90">
            <w:pPr>
              <w:keepNext w:val="0"/>
              <w:keepLines w:val="0"/>
              <w:pageBreakBefore w:val="0"/>
              <w:kinsoku/>
              <w:wordWrap/>
              <w:overflowPunct/>
              <w:topLinePunct w:val="0"/>
              <w:autoSpaceDE/>
              <w:autoSpaceDN/>
              <w:bidi w:val="0"/>
              <w:adjustRightInd/>
              <w:snapToGrid/>
              <w:spacing w:line="240" w:lineRule="atLeast"/>
              <w:jc w:val="center"/>
              <w:textAlignment w:val="auto"/>
              <w:rPr>
                <w:rFonts w:hint="eastAsia" w:ascii="仿宋" w:hAnsi="仿宋" w:eastAsia="仿宋" w:cs="仿宋"/>
                <w:sz w:val="24"/>
                <w:szCs w:val="24"/>
              </w:rPr>
            </w:pPr>
          </w:p>
        </w:tc>
        <w:tc>
          <w:tcPr>
            <w:tcW w:w="795" w:type="dxa"/>
            <w:tcBorders>
              <w:top w:val="nil"/>
              <w:left w:val="nil"/>
              <w:bottom w:val="single" w:color="auto" w:sz="4" w:space="0"/>
              <w:right w:val="single" w:color="auto" w:sz="4" w:space="0"/>
            </w:tcBorders>
            <w:vAlign w:val="center"/>
          </w:tcPr>
          <w:p w14:paraId="1E67CA3B">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eastAsia" w:ascii="仿宋" w:hAnsi="仿宋" w:eastAsia="仿宋" w:cs="仿宋"/>
                <w:sz w:val="24"/>
                <w:szCs w:val="24"/>
              </w:rPr>
            </w:pPr>
            <w:r>
              <w:rPr>
                <w:rFonts w:hint="eastAsia" w:ascii="仿宋" w:hAnsi="仿宋" w:eastAsia="仿宋" w:cs="仿宋"/>
                <w:sz w:val="24"/>
                <w:szCs w:val="24"/>
              </w:rPr>
              <w:t>‌技术方案与增值服务</w:t>
            </w:r>
          </w:p>
        </w:tc>
        <w:tc>
          <w:tcPr>
            <w:tcW w:w="690" w:type="dxa"/>
            <w:tcBorders>
              <w:top w:val="nil"/>
              <w:left w:val="nil"/>
              <w:bottom w:val="single" w:color="auto" w:sz="4" w:space="0"/>
              <w:right w:val="single" w:color="auto" w:sz="4" w:space="0"/>
            </w:tcBorders>
            <w:vAlign w:val="center"/>
          </w:tcPr>
          <w:p w14:paraId="0EC5ECEA">
            <w:pPr>
              <w:keepNext w:val="0"/>
              <w:keepLines w:val="0"/>
              <w:pageBreakBefore w:val="0"/>
              <w:kinsoku/>
              <w:wordWrap/>
              <w:overflowPunct/>
              <w:topLinePunct w:val="0"/>
              <w:autoSpaceDE/>
              <w:autoSpaceDN/>
              <w:bidi w:val="0"/>
              <w:adjustRightInd/>
              <w:snapToGrid/>
              <w:spacing w:line="240" w:lineRule="atLeast"/>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5</w:t>
            </w:r>
          </w:p>
        </w:tc>
        <w:tc>
          <w:tcPr>
            <w:tcW w:w="6698" w:type="dxa"/>
            <w:tcBorders>
              <w:top w:val="nil"/>
              <w:left w:val="nil"/>
              <w:bottom w:val="single" w:color="auto" w:sz="4" w:space="0"/>
              <w:right w:val="single" w:color="auto" w:sz="4" w:space="0"/>
            </w:tcBorders>
            <w:vAlign w:val="center"/>
          </w:tcPr>
          <w:p w14:paraId="5F9A64AB">
            <w:pPr>
              <w:keepNext w:val="0"/>
              <w:keepLines w:val="0"/>
              <w:pageBreakBefore w:val="0"/>
              <w:widowControl/>
              <w:numPr>
                <w:ilvl w:val="0"/>
                <w:numId w:val="2"/>
              </w:numPr>
              <w:kinsoku/>
              <w:wordWrap/>
              <w:overflowPunct/>
              <w:topLinePunct w:val="0"/>
              <w:autoSpaceDE/>
              <w:autoSpaceDN/>
              <w:bidi w:val="0"/>
              <w:adjustRightInd/>
              <w:snapToGrid/>
              <w:spacing w:line="240" w:lineRule="atLeast"/>
              <w:jc w:val="left"/>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方案可包含对医疗机构现有监控设备的巡检建议、易损件寿命预估、更换技术指导、提供替代或升级产品选项等内容。</w:t>
            </w:r>
          </w:p>
          <w:p w14:paraId="3BDC77EC">
            <w:pPr>
              <w:keepNext w:val="0"/>
              <w:keepLines w:val="0"/>
              <w:pageBreakBefore w:val="0"/>
              <w:widowControl/>
              <w:numPr>
                <w:ilvl w:val="0"/>
                <w:numId w:val="0"/>
              </w:numPr>
              <w:kinsoku/>
              <w:wordWrap/>
              <w:overflowPunct/>
              <w:topLinePunct w:val="0"/>
              <w:autoSpaceDE/>
              <w:autoSpaceDN/>
              <w:bidi w:val="0"/>
              <w:adjustRightInd/>
              <w:snapToGrid/>
              <w:spacing w:line="240" w:lineRule="atLeast"/>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lang w:eastAsia="zh-CN"/>
              </w:rPr>
              <w:t>方案具有创新性、实用性，能切实提升采购方管理效率与设备可靠性的，得3-5分；方案较为常规但内容完整的，得1-2分；未提供方案或方案空洞无物不得分。</w:t>
            </w:r>
          </w:p>
        </w:tc>
      </w:tr>
      <w:tr w14:paraId="4D70E44F">
        <w:tblPrEx>
          <w:tblCellMar>
            <w:top w:w="0" w:type="dxa"/>
            <w:left w:w="108" w:type="dxa"/>
            <w:bottom w:w="0" w:type="dxa"/>
            <w:right w:w="108" w:type="dxa"/>
          </w:tblCellMar>
        </w:tblPrEx>
        <w:trPr>
          <w:trHeight w:val="90" w:hRule="atLeast"/>
          <w:jc w:val="center"/>
        </w:trPr>
        <w:tc>
          <w:tcPr>
            <w:tcW w:w="1104" w:type="dxa"/>
            <w:vMerge w:val="restart"/>
            <w:tcBorders>
              <w:top w:val="single" w:color="auto" w:sz="4" w:space="0"/>
              <w:left w:val="single" w:color="auto" w:sz="4" w:space="0"/>
              <w:right w:val="single" w:color="auto" w:sz="4" w:space="0"/>
            </w:tcBorders>
            <w:vAlign w:val="center"/>
          </w:tcPr>
          <w:p w14:paraId="2EB45ADF">
            <w:pPr>
              <w:keepNext w:val="0"/>
              <w:keepLines w:val="0"/>
              <w:pageBreakBefore w:val="0"/>
              <w:kinsoku/>
              <w:wordWrap/>
              <w:overflowPunct/>
              <w:topLinePunct w:val="0"/>
              <w:autoSpaceDE/>
              <w:autoSpaceDN/>
              <w:bidi w:val="0"/>
              <w:adjustRightInd/>
              <w:snapToGrid/>
              <w:spacing w:line="240" w:lineRule="atLeas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商务（30分）</w:t>
            </w:r>
          </w:p>
        </w:tc>
        <w:tc>
          <w:tcPr>
            <w:tcW w:w="795" w:type="dxa"/>
            <w:tcBorders>
              <w:top w:val="nil"/>
              <w:left w:val="nil"/>
              <w:bottom w:val="single" w:color="auto" w:sz="4" w:space="0"/>
              <w:right w:val="single" w:color="auto" w:sz="4" w:space="0"/>
            </w:tcBorders>
            <w:vAlign w:val="center"/>
          </w:tcPr>
          <w:p w14:paraId="580EED69">
            <w:pPr>
              <w:keepNext w:val="0"/>
              <w:keepLines w:val="0"/>
              <w:pageBreakBefore w:val="0"/>
              <w:kinsoku/>
              <w:wordWrap/>
              <w:overflowPunct/>
              <w:topLinePunct w:val="0"/>
              <w:autoSpaceDE/>
              <w:autoSpaceDN/>
              <w:bidi w:val="0"/>
              <w:adjustRightInd/>
              <w:snapToGrid/>
              <w:spacing w:line="240" w:lineRule="atLeas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供应商资质与信誉</w:t>
            </w:r>
          </w:p>
        </w:tc>
        <w:tc>
          <w:tcPr>
            <w:tcW w:w="690" w:type="dxa"/>
            <w:tcBorders>
              <w:top w:val="nil"/>
              <w:left w:val="nil"/>
              <w:bottom w:val="single" w:color="auto" w:sz="4" w:space="0"/>
              <w:right w:val="single" w:color="auto" w:sz="4" w:space="0"/>
            </w:tcBorders>
            <w:vAlign w:val="center"/>
          </w:tcPr>
          <w:p w14:paraId="4FB6AB29">
            <w:pPr>
              <w:keepNext w:val="0"/>
              <w:keepLines w:val="0"/>
              <w:pageBreakBefore w:val="0"/>
              <w:kinsoku/>
              <w:wordWrap/>
              <w:overflowPunct/>
              <w:topLinePunct w:val="0"/>
              <w:autoSpaceDE/>
              <w:autoSpaceDN/>
              <w:bidi w:val="0"/>
              <w:adjustRightInd/>
              <w:snapToGrid/>
              <w:spacing w:line="240" w:lineRule="atLeast"/>
              <w:jc w:val="center"/>
              <w:textAlignment w:val="auto"/>
              <w:rPr>
                <w:rFonts w:hint="eastAsia" w:ascii="仿宋" w:hAnsi="仿宋" w:eastAsia="仿宋" w:cs="仿宋"/>
                <w:sz w:val="24"/>
                <w:szCs w:val="24"/>
              </w:rPr>
            </w:pPr>
            <w:r>
              <w:rPr>
                <w:rFonts w:hint="eastAsia" w:ascii="仿宋" w:hAnsi="仿宋" w:eastAsia="仿宋" w:cs="仿宋"/>
                <w:sz w:val="24"/>
                <w:szCs w:val="24"/>
              </w:rPr>
              <w:t>10</w:t>
            </w:r>
          </w:p>
        </w:tc>
        <w:tc>
          <w:tcPr>
            <w:tcW w:w="6698" w:type="dxa"/>
            <w:tcBorders>
              <w:top w:val="nil"/>
              <w:left w:val="nil"/>
              <w:bottom w:val="single" w:color="auto" w:sz="4" w:space="0"/>
              <w:right w:val="single" w:color="auto" w:sz="4" w:space="0"/>
            </w:tcBorders>
            <w:vAlign w:val="center"/>
          </w:tcPr>
          <w:p w14:paraId="2DD131D1">
            <w:pPr>
              <w:keepNext w:val="0"/>
              <w:keepLines w:val="0"/>
              <w:pageBreakBefore w:val="0"/>
              <w:numPr>
                <w:ilvl w:val="0"/>
                <w:numId w:val="3"/>
              </w:numPr>
              <w:kinsoku/>
              <w:wordWrap/>
              <w:overflowPunct/>
              <w:topLinePunct w:val="0"/>
              <w:autoSpaceDE/>
              <w:autoSpaceDN/>
              <w:bidi w:val="0"/>
              <w:adjustRightInd/>
              <w:snapToGrid/>
              <w:spacing w:line="240" w:lineRule="atLeast"/>
              <w:textAlignment w:val="auto"/>
              <w:rPr>
                <w:rFonts w:hint="eastAsia" w:ascii="仿宋" w:hAnsi="仿宋" w:eastAsia="仿宋" w:cs="仿宋"/>
                <w:sz w:val="24"/>
                <w:szCs w:val="24"/>
              </w:rPr>
            </w:pPr>
            <w:r>
              <w:rPr>
                <w:rFonts w:hint="eastAsia" w:ascii="仿宋" w:hAnsi="仿宋" w:eastAsia="仿宋" w:cs="仿宋"/>
                <w:sz w:val="24"/>
                <w:szCs w:val="24"/>
              </w:rPr>
              <w:t>投标人须完全符合《中华人民共和国政府采购法》第二十二条规定的条件‌</w:t>
            </w:r>
            <w:r>
              <w:rPr>
                <w:rFonts w:hint="eastAsia" w:ascii="仿宋" w:hAnsi="仿宋" w:eastAsia="仿宋" w:cs="仿宋"/>
                <w:sz w:val="24"/>
                <w:szCs w:val="24"/>
                <w:lang w:eastAsia="zh-CN"/>
              </w:rPr>
              <w:t>。</w:t>
            </w:r>
            <w:r>
              <w:rPr>
                <w:rFonts w:hint="eastAsia" w:ascii="仿宋" w:hAnsi="仿宋" w:eastAsia="仿宋" w:cs="仿宋"/>
                <w:sz w:val="24"/>
                <w:szCs w:val="24"/>
              </w:rPr>
              <w:t>并提供相应证明文件。完全满足得5分，任一条件不满足或证明文件不全则不得分。</w:t>
            </w:r>
          </w:p>
          <w:p w14:paraId="266C9167">
            <w:pPr>
              <w:keepNext w:val="0"/>
              <w:keepLines w:val="0"/>
              <w:pageBreakBefore w:val="0"/>
              <w:numPr>
                <w:ilvl w:val="0"/>
                <w:numId w:val="3"/>
              </w:numPr>
              <w:kinsoku/>
              <w:wordWrap/>
              <w:overflowPunct/>
              <w:topLinePunct w:val="0"/>
              <w:autoSpaceDE/>
              <w:autoSpaceDN/>
              <w:bidi w:val="0"/>
              <w:adjustRightInd/>
              <w:snapToGrid/>
              <w:spacing w:line="240" w:lineRule="atLeas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投标人营业执照经营范围须包含监控设备、安防产品或电子元器件销售等相关类目‌。同时，须提供所投主要易损件生产厂商的授权书或代理证明‌。两项均满足得5分，仅满足一项得2分，均不满足不得分。</w:t>
            </w:r>
          </w:p>
        </w:tc>
      </w:tr>
      <w:tr w14:paraId="4B41A97A">
        <w:tblPrEx>
          <w:tblCellMar>
            <w:top w:w="0" w:type="dxa"/>
            <w:left w:w="108" w:type="dxa"/>
            <w:bottom w:w="0" w:type="dxa"/>
            <w:right w:w="108" w:type="dxa"/>
          </w:tblCellMar>
        </w:tblPrEx>
        <w:trPr>
          <w:trHeight w:val="688" w:hRule="atLeast"/>
          <w:jc w:val="center"/>
        </w:trPr>
        <w:tc>
          <w:tcPr>
            <w:tcW w:w="1104" w:type="dxa"/>
            <w:vMerge w:val="continue"/>
            <w:tcBorders>
              <w:left w:val="single" w:color="auto" w:sz="4" w:space="0"/>
              <w:right w:val="single" w:color="auto" w:sz="4" w:space="0"/>
            </w:tcBorders>
            <w:shd w:val="clear" w:color="000000" w:fill="FFFFFF"/>
            <w:vAlign w:val="center"/>
          </w:tcPr>
          <w:p w14:paraId="7EF38C2D">
            <w:pPr>
              <w:keepNext w:val="0"/>
              <w:keepLines w:val="0"/>
              <w:pageBreakBefore w:val="0"/>
              <w:kinsoku/>
              <w:wordWrap/>
              <w:overflowPunct/>
              <w:topLinePunct w:val="0"/>
              <w:autoSpaceDE/>
              <w:autoSpaceDN/>
              <w:bidi w:val="0"/>
              <w:adjustRightInd/>
              <w:snapToGrid/>
              <w:spacing w:line="240" w:lineRule="atLeast"/>
              <w:textAlignment w:val="auto"/>
              <w:rPr>
                <w:rFonts w:hint="eastAsia" w:ascii="仿宋" w:hAnsi="仿宋" w:eastAsia="仿宋" w:cs="仿宋"/>
                <w:sz w:val="24"/>
                <w:szCs w:val="24"/>
              </w:rPr>
            </w:pPr>
          </w:p>
        </w:tc>
        <w:tc>
          <w:tcPr>
            <w:tcW w:w="795" w:type="dxa"/>
            <w:tcBorders>
              <w:top w:val="single" w:color="auto" w:sz="4" w:space="0"/>
              <w:left w:val="nil"/>
              <w:bottom w:val="single" w:color="auto" w:sz="4" w:space="0"/>
              <w:right w:val="single" w:color="auto" w:sz="4" w:space="0"/>
            </w:tcBorders>
            <w:shd w:val="clear" w:color="000000" w:fill="auto"/>
            <w:vAlign w:val="center"/>
          </w:tcPr>
          <w:p w14:paraId="6055A69D">
            <w:pPr>
              <w:keepNext w:val="0"/>
              <w:keepLines w:val="0"/>
              <w:pageBreakBefore w:val="0"/>
              <w:kinsoku/>
              <w:wordWrap/>
              <w:overflowPunct/>
              <w:topLinePunct w:val="0"/>
              <w:autoSpaceDE/>
              <w:autoSpaceDN/>
              <w:bidi w:val="0"/>
              <w:adjustRightInd/>
              <w:snapToGrid/>
              <w:spacing w:line="240" w:lineRule="atLeast"/>
              <w:textAlignment w:val="auto"/>
              <w:rPr>
                <w:rFonts w:hint="eastAsia" w:ascii="仿宋" w:hAnsi="仿宋" w:eastAsia="仿宋" w:cs="仿宋"/>
                <w:sz w:val="24"/>
                <w:szCs w:val="24"/>
              </w:rPr>
            </w:pPr>
            <w:r>
              <w:rPr>
                <w:rFonts w:hint="eastAsia" w:ascii="仿宋" w:hAnsi="仿宋" w:eastAsia="仿宋" w:cs="仿宋"/>
                <w:sz w:val="24"/>
                <w:szCs w:val="24"/>
              </w:rPr>
              <w:t>‌履约保障与供应能力</w:t>
            </w:r>
          </w:p>
        </w:tc>
        <w:tc>
          <w:tcPr>
            <w:tcW w:w="690" w:type="dxa"/>
            <w:tcBorders>
              <w:top w:val="single" w:color="auto" w:sz="4" w:space="0"/>
              <w:left w:val="nil"/>
              <w:bottom w:val="single" w:color="auto" w:sz="4" w:space="0"/>
              <w:right w:val="single" w:color="auto" w:sz="4" w:space="0"/>
            </w:tcBorders>
            <w:shd w:val="clear" w:color="000000" w:fill="auto"/>
            <w:vAlign w:val="center"/>
          </w:tcPr>
          <w:p w14:paraId="50E5B013">
            <w:pPr>
              <w:keepNext w:val="0"/>
              <w:keepLines w:val="0"/>
              <w:pageBreakBefore w:val="0"/>
              <w:kinsoku/>
              <w:wordWrap/>
              <w:overflowPunct/>
              <w:topLinePunct w:val="0"/>
              <w:autoSpaceDE/>
              <w:autoSpaceDN/>
              <w:bidi w:val="0"/>
              <w:adjustRightInd/>
              <w:snapToGrid/>
              <w:spacing w:line="240" w:lineRule="atLeast"/>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10</w:t>
            </w:r>
          </w:p>
        </w:tc>
        <w:tc>
          <w:tcPr>
            <w:tcW w:w="6698" w:type="dxa"/>
            <w:tcBorders>
              <w:top w:val="single" w:color="auto" w:sz="4" w:space="0"/>
              <w:left w:val="nil"/>
              <w:bottom w:val="single" w:color="auto" w:sz="4" w:space="0"/>
              <w:right w:val="single" w:color="auto" w:sz="4" w:space="0"/>
            </w:tcBorders>
            <w:shd w:val="clear" w:color="000000" w:fill="auto"/>
            <w:vAlign w:val="center"/>
          </w:tcPr>
          <w:p w14:paraId="481C7D08">
            <w:pPr>
              <w:keepNext w:val="0"/>
              <w:keepLines w:val="0"/>
              <w:pageBreakBefore w:val="0"/>
              <w:kinsoku/>
              <w:wordWrap/>
              <w:overflowPunct/>
              <w:topLinePunct w:val="0"/>
              <w:autoSpaceDE/>
              <w:autoSpaceDN/>
              <w:bidi w:val="0"/>
              <w:adjustRightInd/>
              <w:snapToGrid/>
              <w:spacing w:line="240" w:lineRule="atLeast"/>
              <w:textAlignment w:val="auto"/>
              <w:rPr>
                <w:rFonts w:hint="eastAsia" w:ascii="仿宋" w:hAnsi="仿宋" w:eastAsia="仿宋" w:cs="仿宋"/>
                <w:sz w:val="24"/>
                <w:szCs w:val="24"/>
              </w:rPr>
            </w:pPr>
            <w:r>
              <w:rPr>
                <w:rFonts w:hint="eastAsia" w:ascii="仿宋" w:hAnsi="仿宋" w:eastAsia="仿宋" w:cs="仿宋"/>
                <w:sz w:val="24"/>
                <w:szCs w:val="24"/>
                <w:lang w:eastAsia="zh-CN"/>
              </w:rPr>
              <w:t>1.</w:t>
            </w:r>
            <w:r>
              <w:rPr>
                <w:rFonts w:hint="eastAsia" w:ascii="仿宋" w:hAnsi="仿宋" w:eastAsia="仿宋" w:cs="仿宋"/>
                <w:sz w:val="24"/>
                <w:szCs w:val="24"/>
              </w:rPr>
              <w:t>根据投标人提供的交货及响应方案评审。方案需明确接单流程、常规订单交货时限、加急订单响应机制及人员安排。方案完整、合理、针对性强得5分；存在瑕疵或缺陷的，每处扣1分，扣完为止；未提供方案不得分。‌</w:t>
            </w:r>
          </w:p>
          <w:p w14:paraId="32ADA938">
            <w:pPr>
              <w:keepNext w:val="0"/>
              <w:keepLines w:val="0"/>
              <w:pageBreakBefore w:val="0"/>
              <w:kinsoku/>
              <w:wordWrap/>
              <w:overflowPunct/>
              <w:topLinePunct w:val="0"/>
              <w:autoSpaceDE/>
              <w:autoSpaceDN/>
              <w:bidi w:val="0"/>
              <w:adjustRightInd/>
              <w:snapToGrid/>
              <w:spacing w:line="240" w:lineRule="atLeast"/>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2、根据投标人提供的产品质量保障方案评审。方案需阐述所供易损件的质量检测规范、合格证明文件提供流程、不合格品处理机制。方案完整、合理、针对性强得5分；存在瑕疵或缺陷的，每处扣1分，扣完为止；未提供方案不得分。‌</w:t>
            </w:r>
          </w:p>
        </w:tc>
      </w:tr>
      <w:tr w14:paraId="36ABD666">
        <w:tblPrEx>
          <w:tblCellMar>
            <w:top w:w="0" w:type="dxa"/>
            <w:left w:w="108" w:type="dxa"/>
            <w:bottom w:w="0" w:type="dxa"/>
            <w:right w:w="108" w:type="dxa"/>
          </w:tblCellMar>
        </w:tblPrEx>
        <w:trPr>
          <w:trHeight w:val="688" w:hRule="atLeast"/>
          <w:jc w:val="center"/>
        </w:trPr>
        <w:tc>
          <w:tcPr>
            <w:tcW w:w="1104" w:type="dxa"/>
            <w:vMerge w:val="continue"/>
            <w:tcBorders>
              <w:left w:val="single" w:color="auto" w:sz="4" w:space="0"/>
              <w:bottom w:val="single" w:color="auto" w:sz="4" w:space="0"/>
              <w:right w:val="single" w:color="auto" w:sz="4" w:space="0"/>
            </w:tcBorders>
            <w:shd w:val="clear" w:color="000000" w:fill="FFFFFF"/>
            <w:vAlign w:val="center"/>
          </w:tcPr>
          <w:p w14:paraId="60B548DA">
            <w:pPr>
              <w:keepNext w:val="0"/>
              <w:keepLines w:val="0"/>
              <w:pageBreakBefore w:val="0"/>
              <w:kinsoku/>
              <w:wordWrap/>
              <w:overflowPunct/>
              <w:topLinePunct w:val="0"/>
              <w:autoSpaceDE/>
              <w:autoSpaceDN/>
              <w:bidi w:val="0"/>
              <w:adjustRightInd/>
              <w:snapToGrid/>
              <w:spacing w:line="240" w:lineRule="atLeast"/>
              <w:textAlignment w:val="auto"/>
              <w:rPr>
                <w:rFonts w:hint="eastAsia" w:ascii="仿宋" w:hAnsi="仿宋" w:eastAsia="仿宋" w:cs="仿宋"/>
                <w:sz w:val="24"/>
                <w:szCs w:val="24"/>
              </w:rPr>
            </w:pPr>
          </w:p>
        </w:tc>
        <w:tc>
          <w:tcPr>
            <w:tcW w:w="795" w:type="dxa"/>
            <w:tcBorders>
              <w:top w:val="single" w:color="auto" w:sz="4" w:space="0"/>
              <w:left w:val="nil"/>
              <w:bottom w:val="single" w:color="auto" w:sz="4" w:space="0"/>
              <w:right w:val="single" w:color="auto" w:sz="4" w:space="0"/>
            </w:tcBorders>
            <w:shd w:val="clear" w:color="000000" w:fill="auto"/>
            <w:vAlign w:val="center"/>
          </w:tcPr>
          <w:p w14:paraId="20FB437A">
            <w:pPr>
              <w:keepNext w:val="0"/>
              <w:keepLines w:val="0"/>
              <w:pageBreakBefore w:val="0"/>
              <w:kinsoku/>
              <w:wordWrap/>
              <w:overflowPunct/>
              <w:topLinePunct w:val="0"/>
              <w:autoSpaceDE/>
              <w:autoSpaceDN/>
              <w:bidi w:val="0"/>
              <w:adjustRightInd/>
              <w:snapToGrid/>
              <w:spacing w:line="240" w:lineRule="atLeast"/>
              <w:textAlignment w:val="auto"/>
              <w:rPr>
                <w:rFonts w:hint="eastAsia" w:ascii="仿宋" w:hAnsi="仿宋" w:eastAsia="仿宋" w:cs="仿宋"/>
                <w:sz w:val="24"/>
                <w:szCs w:val="24"/>
              </w:rPr>
            </w:pPr>
            <w:r>
              <w:rPr>
                <w:rFonts w:hint="eastAsia" w:ascii="仿宋" w:hAnsi="仿宋" w:eastAsia="仿宋" w:cs="仿宋"/>
                <w:sz w:val="24"/>
                <w:szCs w:val="24"/>
              </w:rPr>
              <w:t>售后服务与应急方案</w:t>
            </w:r>
          </w:p>
        </w:tc>
        <w:tc>
          <w:tcPr>
            <w:tcW w:w="690" w:type="dxa"/>
            <w:tcBorders>
              <w:top w:val="single" w:color="auto" w:sz="4" w:space="0"/>
              <w:left w:val="nil"/>
              <w:bottom w:val="single" w:color="auto" w:sz="4" w:space="0"/>
              <w:right w:val="single" w:color="auto" w:sz="4" w:space="0"/>
            </w:tcBorders>
            <w:shd w:val="clear" w:color="000000" w:fill="auto"/>
            <w:vAlign w:val="center"/>
          </w:tcPr>
          <w:p w14:paraId="499156FD">
            <w:pPr>
              <w:keepNext w:val="0"/>
              <w:keepLines w:val="0"/>
              <w:pageBreakBefore w:val="0"/>
              <w:kinsoku/>
              <w:wordWrap/>
              <w:overflowPunct/>
              <w:topLinePunct w:val="0"/>
              <w:autoSpaceDE/>
              <w:autoSpaceDN/>
              <w:bidi w:val="0"/>
              <w:adjustRightInd/>
              <w:snapToGrid/>
              <w:spacing w:line="240" w:lineRule="atLeas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w:t>
            </w:r>
          </w:p>
        </w:tc>
        <w:tc>
          <w:tcPr>
            <w:tcW w:w="6698" w:type="dxa"/>
            <w:tcBorders>
              <w:top w:val="single" w:color="auto" w:sz="4" w:space="0"/>
              <w:left w:val="nil"/>
              <w:bottom w:val="single" w:color="auto" w:sz="4" w:space="0"/>
              <w:right w:val="single" w:color="auto" w:sz="4" w:space="0"/>
            </w:tcBorders>
            <w:shd w:val="clear" w:color="000000" w:fill="auto"/>
            <w:vAlign w:val="center"/>
          </w:tcPr>
          <w:p w14:paraId="6FF0D7B0">
            <w:pPr>
              <w:keepNext w:val="0"/>
              <w:keepLines w:val="0"/>
              <w:pageBreakBefore w:val="0"/>
              <w:kinsoku/>
              <w:wordWrap/>
              <w:overflowPunct/>
              <w:topLinePunct w:val="0"/>
              <w:autoSpaceDE/>
              <w:autoSpaceDN/>
              <w:bidi w:val="0"/>
              <w:adjustRightInd/>
              <w:snapToGrid/>
              <w:spacing w:line="240" w:lineRule="atLeast"/>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根据投标人提供的售后服务及应急方案评审。‌</w:t>
            </w:r>
          </w:p>
          <w:p w14:paraId="577A564A">
            <w:pPr>
              <w:keepNext w:val="0"/>
              <w:keepLines w:val="0"/>
              <w:pageBreakBefore w:val="0"/>
              <w:kinsoku/>
              <w:wordWrap/>
              <w:overflowPunct/>
              <w:topLinePunct w:val="0"/>
              <w:autoSpaceDE/>
              <w:autoSpaceDN/>
              <w:bidi w:val="0"/>
              <w:adjustRightInd/>
              <w:snapToGrid/>
              <w:spacing w:line="240" w:lineRule="atLeast"/>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方案需包含常规售后服务内容（如技术咨询、使用指导）、维修支持方案，以及针对监控设备突发故障的应急处理措施与备用件供应方案。‌</w:t>
            </w:r>
          </w:p>
          <w:p w14:paraId="05090C56">
            <w:pPr>
              <w:keepNext w:val="0"/>
              <w:keepLines w:val="0"/>
              <w:pageBreakBefore w:val="0"/>
              <w:kinsoku/>
              <w:wordWrap/>
              <w:overflowPunct/>
              <w:topLinePunct w:val="0"/>
              <w:autoSpaceDE/>
              <w:autoSpaceDN/>
              <w:bidi w:val="0"/>
              <w:adjustRightInd/>
              <w:snapToGrid/>
              <w:spacing w:line="240" w:lineRule="atLeast"/>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方案描述完整、合理、针对性强得</w:t>
            </w:r>
            <w:r>
              <w:rPr>
                <w:rFonts w:hint="eastAsia" w:ascii="仿宋" w:hAnsi="仿宋" w:eastAsia="仿宋" w:cs="仿宋"/>
                <w:sz w:val="24"/>
                <w:szCs w:val="24"/>
                <w:lang w:val="en-US" w:eastAsia="zh-CN"/>
              </w:rPr>
              <w:t>10</w:t>
            </w:r>
            <w:r>
              <w:rPr>
                <w:rFonts w:hint="eastAsia" w:ascii="仿宋" w:hAnsi="仿宋" w:eastAsia="仿宋" w:cs="仿宋"/>
                <w:sz w:val="24"/>
                <w:szCs w:val="24"/>
                <w:lang w:eastAsia="zh-CN"/>
              </w:rPr>
              <w:t>分；存在描述不完整、不合理、缺乏针对性等情况的，每处扣</w:t>
            </w:r>
            <w:r>
              <w:rPr>
                <w:rFonts w:hint="eastAsia" w:ascii="仿宋" w:hAnsi="仿宋" w:eastAsia="仿宋" w:cs="仿宋"/>
                <w:sz w:val="24"/>
                <w:szCs w:val="24"/>
                <w:lang w:val="en-US" w:eastAsia="zh-CN"/>
              </w:rPr>
              <w:t>2</w:t>
            </w:r>
            <w:r>
              <w:rPr>
                <w:rFonts w:hint="eastAsia" w:ascii="仿宋" w:hAnsi="仿宋" w:eastAsia="仿宋" w:cs="仿宋"/>
                <w:sz w:val="24"/>
                <w:szCs w:val="24"/>
                <w:lang w:eastAsia="zh-CN"/>
              </w:rPr>
              <w:t>分，扣完为止；未提供方案不得分。‌</w:t>
            </w:r>
          </w:p>
        </w:tc>
      </w:tr>
      <w:tr w14:paraId="0BB91C11">
        <w:tblPrEx>
          <w:tblCellMar>
            <w:top w:w="0" w:type="dxa"/>
            <w:left w:w="108" w:type="dxa"/>
            <w:bottom w:w="0" w:type="dxa"/>
            <w:right w:w="108" w:type="dxa"/>
          </w:tblCellMar>
        </w:tblPrEx>
        <w:trPr>
          <w:trHeight w:val="415" w:hRule="atLeast"/>
          <w:jc w:val="center"/>
        </w:trPr>
        <w:tc>
          <w:tcPr>
            <w:tcW w:w="1899" w:type="dxa"/>
            <w:gridSpan w:val="2"/>
            <w:tcBorders>
              <w:top w:val="single" w:color="auto" w:sz="4" w:space="0"/>
              <w:left w:val="single" w:color="auto" w:sz="4" w:space="0"/>
              <w:bottom w:val="single" w:color="auto" w:sz="4" w:space="0"/>
              <w:right w:val="single" w:color="auto" w:sz="4" w:space="0"/>
            </w:tcBorders>
            <w:vAlign w:val="center"/>
          </w:tcPr>
          <w:p w14:paraId="310F88E2">
            <w:pPr>
              <w:keepNext w:val="0"/>
              <w:keepLines w:val="0"/>
              <w:pageBreakBefore w:val="0"/>
              <w:kinsoku/>
              <w:wordWrap/>
              <w:overflowPunct/>
              <w:topLinePunct w:val="0"/>
              <w:autoSpaceDE/>
              <w:autoSpaceDN/>
              <w:bidi w:val="0"/>
              <w:adjustRightInd/>
              <w:snapToGrid/>
              <w:spacing w:line="240" w:lineRule="atLeas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合计</w:t>
            </w:r>
          </w:p>
        </w:tc>
        <w:tc>
          <w:tcPr>
            <w:tcW w:w="690" w:type="dxa"/>
            <w:tcBorders>
              <w:top w:val="nil"/>
              <w:left w:val="nil"/>
              <w:bottom w:val="single" w:color="auto" w:sz="4" w:space="0"/>
              <w:right w:val="single" w:color="auto" w:sz="4" w:space="0"/>
            </w:tcBorders>
            <w:vAlign w:val="center"/>
          </w:tcPr>
          <w:p w14:paraId="3C031E98">
            <w:pPr>
              <w:keepNext w:val="0"/>
              <w:keepLines w:val="0"/>
              <w:pageBreakBefore w:val="0"/>
              <w:kinsoku/>
              <w:wordWrap/>
              <w:overflowPunct/>
              <w:topLinePunct w:val="0"/>
              <w:autoSpaceDE/>
              <w:autoSpaceDN/>
              <w:bidi w:val="0"/>
              <w:adjustRightInd/>
              <w:snapToGrid/>
              <w:spacing w:line="240" w:lineRule="atLeast"/>
              <w:textAlignment w:val="auto"/>
              <w:rPr>
                <w:rFonts w:hint="eastAsia" w:ascii="仿宋" w:hAnsi="仿宋" w:eastAsia="仿宋" w:cs="仿宋"/>
                <w:sz w:val="24"/>
                <w:szCs w:val="24"/>
              </w:rPr>
            </w:pPr>
            <w:r>
              <w:rPr>
                <w:rFonts w:hint="eastAsia" w:ascii="仿宋" w:hAnsi="仿宋" w:eastAsia="仿宋" w:cs="仿宋"/>
                <w:sz w:val="24"/>
                <w:szCs w:val="24"/>
              </w:rPr>
              <w:t>100</w:t>
            </w:r>
          </w:p>
        </w:tc>
        <w:tc>
          <w:tcPr>
            <w:tcW w:w="6698" w:type="dxa"/>
            <w:tcBorders>
              <w:top w:val="nil"/>
              <w:left w:val="nil"/>
              <w:bottom w:val="single" w:color="auto" w:sz="4" w:space="0"/>
              <w:right w:val="single" w:color="auto" w:sz="4" w:space="0"/>
            </w:tcBorders>
            <w:vAlign w:val="center"/>
          </w:tcPr>
          <w:p w14:paraId="5EB9748D">
            <w:pPr>
              <w:keepNext w:val="0"/>
              <w:keepLines w:val="0"/>
              <w:pageBreakBefore w:val="0"/>
              <w:kinsoku/>
              <w:wordWrap/>
              <w:overflowPunct/>
              <w:topLinePunct w:val="0"/>
              <w:autoSpaceDE/>
              <w:autoSpaceDN/>
              <w:bidi w:val="0"/>
              <w:adjustRightInd/>
              <w:snapToGrid/>
              <w:spacing w:line="240" w:lineRule="atLeast"/>
              <w:textAlignment w:val="auto"/>
              <w:rPr>
                <w:rFonts w:hint="eastAsia" w:ascii="仿宋" w:hAnsi="仿宋" w:eastAsia="仿宋" w:cs="仿宋"/>
                <w:sz w:val="24"/>
                <w:szCs w:val="24"/>
              </w:rPr>
            </w:pPr>
            <w:r>
              <w:rPr>
                <w:rFonts w:hint="eastAsia" w:ascii="仿宋" w:hAnsi="仿宋" w:eastAsia="仿宋" w:cs="仿宋"/>
                <w:sz w:val="24"/>
                <w:szCs w:val="24"/>
              </w:rPr>
              <w:t>　</w:t>
            </w:r>
          </w:p>
        </w:tc>
      </w:tr>
    </w:tbl>
    <w:p w14:paraId="284612D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评分说明：</w:t>
      </w:r>
    </w:p>
    <w:p w14:paraId="25B38AF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w:t>
      </w:r>
      <w:r>
        <w:rPr>
          <w:rFonts w:hint="default" w:ascii="仿宋" w:hAnsi="仿宋" w:eastAsia="仿宋" w:cs="仿宋"/>
          <w:sz w:val="32"/>
          <w:szCs w:val="32"/>
          <w:lang w:val="en-US" w:eastAsia="zh-CN"/>
        </w:rPr>
        <w:t>保留小数点后两位（按四舍五入原则）</w:t>
      </w:r>
    </w:p>
    <w:p w14:paraId="07E4A4F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w:t>
      </w:r>
      <w:r>
        <w:rPr>
          <w:rFonts w:hint="default" w:ascii="仿宋" w:hAnsi="仿宋" w:eastAsia="仿宋" w:cs="仿宋"/>
          <w:sz w:val="32"/>
          <w:szCs w:val="32"/>
          <w:lang w:val="en-US" w:eastAsia="zh-CN"/>
        </w:rPr>
        <w:t>获得最高评估分的投标人将被推荐为合格的中标候选人。</w:t>
      </w:r>
    </w:p>
    <w:p w14:paraId="4C68810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（3）</w:t>
      </w:r>
      <w:r>
        <w:rPr>
          <w:rFonts w:hint="default" w:ascii="仿宋" w:hAnsi="仿宋" w:eastAsia="仿宋" w:cs="仿宋"/>
          <w:sz w:val="32"/>
          <w:szCs w:val="32"/>
          <w:lang w:val="en-US" w:eastAsia="zh-CN"/>
        </w:rPr>
        <w:t>如果投标人综合得分相同，按下列顺序排列以确定将被推荐为合格的中标候选人：</w:t>
      </w:r>
    </w:p>
    <w:p w14:paraId="6757644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20" w:leftChars="0"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w:t>
      </w:r>
      <w:r>
        <w:rPr>
          <w:rFonts w:hint="default" w:ascii="仿宋" w:hAnsi="仿宋" w:eastAsia="仿宋" w:cs="仿宋"/>
          <w:sz w:val="32"/>
          <w:szCs w:val="32"/>
          <w:lang w:val="en-US" w:eastAsia="zh-CN"/>
        </w:rPr>
        <w:t>技术评估得分高的；</w:t>
      </w:r>
    </w:p>
    <w:p w14:paraId="3FA5F6A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20" w:leftChars="0"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w:t>
      </w:r>
      <w:r>
        <w:rPr>
          <w:rFonts w:hint="default" w:ascii="仿宋" w:hAnsi="仿宋" w:eastAsia="仿宋" w:cs="仿宋"/>
          <w:sz w:val="32"/>
          <w:szCs w:val="32"/>
          <w:lang w:val="en-US" w:eastAsia="zh-CN"/>
        </w:rPr>
        <w:t>投标价低的；</w:t>
      </w:r>
    </w:p>
    <w:p w14:paraId="63D2B1E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20" w:leftChars="0"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3、</w:t>
      </w:r>
      <w:r>
        <w:rPr>
          <w:rFonts w:hint="default" w:ascii="仿宋" w:hAnsi="仿宋" w:eastAsia="仿宋" w:cs="仿宋"/>
          <w:sz w:val="32"/>
          <w:szCs w:val="32"/>
          <w:lang w:val="en-US" w:eastAsia="zh-CN"/>
        </w:rPr>
        <w:t>制作方案得分高的。</w:t>
      </w:r>
    </w:p>
    <w:p w14:paraId="2B9CB8B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20" w:leftChars="0" w:firstLine="640" w:firstLineChars="200"/>
        <w:jc w:val="both"/>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投标人在投标时须提供与以上评分因素相关的材料。如果发现有弄虚作假的，将取消其投标资格。</w:t>
      </w:r>
    </w:p>
    <w:p w14:paraId="7092568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20" w:leftChars="0" w:firstLine="640" w:firstLineChars="200"/>
        <w:jc w:val="both"/>
        <w:textAlignment w:val="auto"/>
        <w:rPr>
          <w:rFonts w:hint="default" w:ascii="仿宋" w:hAnsi="仿宋" w:eastAsia="仿宋" w:cs="仿宋"/>
          <w:sz w:val="32"/>
          <w:szCs w:val="32"/>
          <w:lang w:val="en-US" w:eastAsia="zh-CN"/>
        </w:rPr>
      </w:pPr>
    </w:p>
    <w:p w14:paraId="5C82855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 w:hAnsi="仿宋" w:eastAsia="仿宋" w:cs="仿宋"/>
          <w:sz w:val="32"/>
          <w:szCs w:val="32"/>
          <w:lang w:val="en-US" w:eastAsia="zh-CN"/>
        </w:rPr>
      </w:pPr>
    </w:p>
    <w:p w14:paraId="03C5892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20" w:leftChars="0" w:firstLine="640" w:firstLineChars="200"/>
        <w:jc w:val="both"/>
        <w:textAlignment w:val="auto"/>
        <w:rPr>
          <w:rFonts w:hint="default" w:ascii="仿宋" w:hAnsi="仿宋" w:eastAsia="仿宋" w:cs="仿宋"/>
          <w:sz w:val="32"/>
          <w:szCs w:val="32"/>
          <w:lang w:val="en-US" w:eastAsia="zh-CN"/>
        </w:rPr>
      </w:pPr>
    </w:p>
    <w:p w14:paraId="5BA1C76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20" w:leftChars="0" w:firstLine="640" w:firstLineChars="200"/>
        <w:jc w:val="both"/>
        <w:textAlignment w:val="auto"/>
        <w:rPr>
          <w:rFonts w:hint="default" w:ascii="仿宋" w:hAnsi="仿宋" w:eastAsia="仿宋" w:cs="仿宋"/>
          <w:sz w:val="32"/>
          <w:szCs w:val="32"/>
          <w:lang w:val="en-US" w:eastAsia="zh-CN"/>
        </w:rPr>
      </w:pPr>
    </w:p>
    <w:p w14:paraId="7B380F7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20" w:leftChars="0" w:firstLine="640" w:firstLineChars="200"/>
        <w:jc w:val="both"/>
        <w:textAlignment w:val="auto"/>
        <w:rPr>
          <w:rFonts w:hint="default" w:ascii="仿宋" w:hAnsi="仿宋" w:eastAsia="仿宋" w:cs="仿宋"/>
          <w:sz w:val="32"/>
          <w:szCs w:val="32"/>
          <w:lang w:val="en-US" w:eastAsia="zh-CN"/>
        </w:rPr>
      </w:pPr>
    </w:p>
    <w:p w14:paraId="52BCDDA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20" w:leftChars="0" w:firstLine="640" w:firstLineChars="200"/>
        <w:jc w:val="both"/>
        <w:textAlignment w:val="auto"/>
        <w:rPr>
          <w:rFonts w:hint="default" w:ascii="仿宋" w:hAnsi="仿宋" w:eastAsia="仿宋" w:cs="仿宋"/>
          <w:sz w:val="32"/>
          <w:szCs w:val="32"/>
          <w:lang w:val="en-US" w:eastAsia="zh-CN"/>
        </w:rPr>
      </w:pPr>
    </w:p>
    <w:p w14:paraId="3063616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20" w:leftChars="0" w:firstLine="640" w:firstLineChars="200"/>
        <w:jc w:val="both"/>
        <w:textAlignment w:val="auto"/>
        <w:rPr>
          <w:rFonts w:hint="default" w:ascii="仿宋" w:hAnsi="仿宋" w:eastAsia="仿宋" w:cs="仿宋"/>
          <w:sz w:val="32"/>
          <w:szCs w:val="32"/>
          <w:lang w:val="en-US" w:eastAsia="zh-CN"/>
        </w:rPr>
      </w:pPr>
    </w:p>
    <w:p w14:paraId="78B0EB0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20" w:leftChars="0" w:firstLine="640" w:firstLineChars="200"/>
        <w:jc w:val="both"/>
        <w:textAlignment w:val="auto"/>
        <w:rPr>
          <w:rFonts w:hint="default" w:ascii="仿宋" w:hAnsi="仿宋" w:eastAsia="仿宋" w:cs="仿宋"/>
          <w:sz w:val="32"/>
          <w:szCs w:val="32"/>
          <w:lang w:val="en-US" w:eastAsia="zh-CN"/>
        </w:rPr>
      </w:pPr>
    </w:p>
    <w:p w14:paraId="297AA64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20" w:leftChars="0" w:firstLine="640" w:firstLineChars="200"/>
        <w:jc w:val="both"/>
        <w:textAlignment w:val="auto"/>
        <w:rPr>
          <w:rFonts w:hint="default" w:ascii="仿宋" w:hAnsi="仿宋" w:eastAsia="仿宋" w:cs="仿宋"/>
          <w:sz w:val="32"/>
          <w:szCs w:val="32"/>
          <w:lang w:val="en-US" w:eastAsia="zh-CN"/>
        </w:rPr>
      </w:pPr>
    </w:p>
    <w:p w14:paraId="526A2E4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 w:hAnsi="仿宋" w:eastAsia="仿宋" w:cs="仿宋"/>
          <w:sz w:val="32"/>
          <w:szCs w:val="32"/>
          <w:lang w:val="en-US" w:eastAsia="zh-CN"/>
        </w:rPr>
      </w:pPr>
    </w:p>
    <w:p w14:paraId="1BA7F5A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20" w:leftChars="0" w:firstLine="640" w:firstLineChars="200"/>
        <w:jc w:val="both"/>
        <w:textAlignment w:val="auto"/>
        <w:rPr>
          <w:rFonts w:hint="default" w:ascii="仿宋" w:hAnsi="仿宋" w:eastAsia="仿宋" w:cs="仿宋"/>
          <w:sz w:val="32"/>
          <w:szCs w:val="32"/>
          <w:lang w:val="en-US" w:eastAsia="zh-CN"/>
        </w:rPr>
      </w:pPr>
    </w:p>
    <w:p w14:paraId="39CB6CD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公文小标宋" w:hAnsi="方正公文小标宋" w:eastAsia="方正公文小标宋" w:cs="方正公文小标宋"/>
          <w:b w:val="0"/>
          <w:bCs w:val="0"/>
          <w:sz w:val="44"/>
          <w:szCs w:val="44"/>
        </w:rPr>
      </w:pPr>
      <w:r>
        <w:rPr>
          <w:rFonts w:hint="eastAsia" w:ascii="方正公文小标宋" w:hAnsi="方正公文小标宋" w:eastAsia="方正公文小标宋" w:cs="方正公文小标宋"/>
          <w:b w:val="0"/>
          <w:bCs w:val="0"/>
          <w:kern w:val="2"/>
          <w:sz w:val="44"/>
          <w:szCs w:val="44"/>
          <w:lang w:val="en-US" w:eastAsia="zh-CN" w:bidi="ar-SA"/>
        </w:rPr>
        <w:t xml:space="preserve">第六章 </w:t>
      </w:r>
      <w:r>
        <w:rPr>
          <w:rFonts w:hint="eastAsia" w:ascii="方正公文小标宋" w:hAnsi="方正公文小标宋" w:eastAsia="方正公文小标宋" w:cs="方正公文小标宋"/>
          <w:b w:val="0"/>
          <w:bCs w:val="0"/>
          <w:sz w:val="44"/>
          <w:szCs w:val="44"/>
        </w:rPr>
        <w:t>合同与验收</w:t>
      </w:r>
    </w:p>
    <w:p w14:paraId="77AC886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hint="eastAsia" w:ascii="方正公文小标宋" w:hAnsi="方正公文小标宋" w:eastAsia="方正公文小标宋" w:cs="方正公文小标宋"/>
          <w:b w:val="0"/>
          <w:bCs w:val="0"/>
          <w:sz w:val="32"/>
          <w:szCs w:val="32"/>
        </w:rPr>
      </w:pPr>
    </w:p>
    <w:p w14:paraId="058F5A5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kern w:val="2"/>
          <w:sz w:val="32"/>
          <w:szCs w:val="32"/>
          <w:lang w:val="en-US" w:eastAsia="zh-CN" w:bidi="ar-SA"/>
        </w:rPr>
        <w:t>一.</w:t>
      </w:r>
      <w:r>
        <w:rPr>
          <w:rFonts w:hint="eastAsia" w:ascii="黑体" w:hAnsi="黑体" w:eastAsia="黑体" w:cs="黑体"/>
          <w:b w:val="0"/>
          <w:bCs w:val="0"/>
          <w:sz w:val="32"/>
          <w:szCs w:val="32"/>
        </w:rPr>
        <w:t xml:space="preserve">合同要求 </w:t>
      </w:r>
    </w:p>
    <w:p w14:paraId="60F6E09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bCs/>
          <w:sz w:val="32"/>
          <w:szCs w:val="32"/>
        </w:rPr>
      </w:pPr>
      <w:r>
        <w:rPr>
          <w:rFonts w:hint="eastAsia" w:ascii="仿宋" w:hAnsi="仿宋" w:eastAsia="仿宋" w:cs="仿宋"/>
          <w:b/>
          <w:bCs/>
          <w:kern w:val="2"/>
          <w:sz w:val="32"/>
          <w:szCs w:val="32"/>
          <w:lang w:val="en-US" w:eastAsia="zh-CN" w:bidi="ar-SA"/>
        </w:rPr>
        <w:t>1.</w:t>
      </w:r>
      <w:r>
        <w:rPr>
          <w:rFonts w:hint="eastAsia" w:ascii="仿宋" w:hAnsi="仿宋" w:eastAsia="仿宋" w:cs="仿宋"/>
          <w:b/>
          <w:bCs/>
          <w:sz w:val="32"/>
          <w:szCs w:val="32"/>
        </w:rPr>
        <w:t xml:space="preserve">一般要求 </w:t>
      </w:r>
    </w:p>
    <w:p w14:paraId="216D18D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 xml:space="preserve">1.1采购人应当自中标通知书发出之日起30日内，按照招标文件和中标人投标文件的规定，与中标人签订书面合同。所签订的合同不得对招标文件确定的事项和中标人投标文件作实质性修改。 合同签订双方不得提出任何不合理的要求作为签订合同的条件。 </w:t>
      </w:r>
    </w:p>
    <w:p w14:paraId="542C304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 xml:space="preserve">1.2采购合同应当包括采购人与中标人的名称和住所、标的、数量、质量、价款或者报酬、履行期限及地点和方式、验 收要求、违约责任、解决争议的方法等内容。 </w:t>
      </w:r>
    </w:p>
    <w:p w14:paraId="6C67EF8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1.3采购人与中标人应当根据合同的约定依法履行合同义务。</w:t>
      </w:r>
      <w:bookmarkStart w:id="0" w:name="_GoBack"/>
      <w:bookmarkEnd w:id="0"/>
      <w:r>
        <w:rPr>
          <w:rFonts w:hint="eastAsia" w:ascii="仿宋" w:hAnsi="仿宋" w:eastAsia="仿宋" w:cs="仿宋"/>
          <w:sz w:val="32"/>
          <w:szCs w:val="32"/>
        </w:rPr>
        <w:t xml:space="preserve">政府采购合同的履行、违约责任和解决争议的方法等适用《中华人民共和国民法典》。政府采购合同的双方当事人不得擅自变更、中止或者终止合同。 </w:t>
      </w:r>
    </w:p>
    <w:p w14:paraId="6D7C1BA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 xml:space="preserve">1.4拒绝签订采购合同的按照相关规定处理，并承担相应法律责任。 </w:t>
      </w:r>
    </w:p>
    <w:p w14:paraId="113992D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1.5采购人应当自采购合同签订之日起2个工作日内， 将采购合同在</w:t>
      </w:r>
      <w:r>
        <w:rPr>
          <w:rFonts w:hint="eastAsia" w:ascii="仿宋" w:hAnsi="仿宋" w:eastAsia="仿宋" w:cs="仿宋"/>
          <w:sz w:val="32"/>
          <w:szCs w:val="32"/>
          <w:lang w:eastAsia="zh-CN"/>
        </w:rPr>
        <w:t>采购单位官方</w:t>
      </w:r>
      <w:r>
        <w:rPr>
          <w:rFonts w:hint="eastAsia" w:ascii="仿宋" w:hAnsi="仿宋" w:eastAsia="仿宋" w:cs="仿宋"/>
          <w:sz w:val="32"/>
          <w:szCs w:val="32"/>
        </w:rPr>
        <w:t>媒体上公告， 但政府采购合同中涉及国家秘密、商业秘密的内容除外。</w:t>
      </w:r>
    </w:p>
    <w:p w14:paraId="5DD3898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 w:hAnsi="仿宋" w:eastAsia="仿宋" w:cs="仿宋"/>
          <w:b/>
          <w:bCs/>
          <w:sz w:val="32"/>
          <w:szCs w:val="32"/>
        </w:rPr>
      </w:pPr>
      <w:r>
        <w:rPr>
          <w:rFonts w:hint="eastAsia" w:ascii="仿宋" w:hAnsi="仿宋" w:eastAsia="仿宋" w:cs="仿宋"/>
          <w:b/>
          <w:bCs/>
          <w:kern w:val="2"/>
          <w:sz w:val="32"/>
          <w:szCs w:val="32"/>
          <w:lang w:val="en-US" w:eastAsia="zh-CN" w:bidi="ar-SA"/>
        </w:rPr>
        <w:t>2.</w:t>
      </w:r>
      <w:r>
        <w:rPr>
          <w:rFonts w:hint="eastAsia" w:ascii="仿宋" w:hAnsi="仿宋" w:eastAsia="仿宋" w:cs="仿宋"/>
          <w:b/>
          <w:bCs/>
          <w:sz w:val="32"/>
          <w:szCs w:val="32"/>
        </w:rPr>
        <w:t>合同格式及内容</w:t>
      </w:r>
    </w:p>
    <w:p w14:paraId="62E763B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2.1具体格式见本招标文件后附拟签订的《合同文本》（部分合同条款），投标文件中可以不提供《合同文本》。</w:t>
      </w:r>
    </w:p>
    <w:p w14:paraId="217EA8F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2.2《合同文本》的内容可以根据《民法典》和合同签订双方的实际要求进行修改，但不得改变范本中的实质性内容。</w:t>
      </w:r>
    </w:p>
    <w:p w14:paraId="2328119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黑体" w:hAnsi="黑体" w:eastAsia="黑体" w:cs="黑体"/>
          <w:b/>
          <w:bCs/>
          <w:sz w:val="32"/>
          <w:szCs w:val="32"/>
        </w:rPr>
      </w:pPr>
      <w:r>
        <w:rPr>
          <w:rFonts w:hint="eastAsia" w:ascii="黑体" w:hAnsi="黑体" w:eastAsia="黑体" w:cs="黑体"/>
          <w:b/>
          <w:bCs/>
          <w:kern w:val="2"/>
          <w:sz w:val="32"/>
          <w:szCs w:val="32"/>
          <w:lang w:val="en-US" w:eastAsia="zh-CN" w:bidi="ar-SA"/>
        </w:rPr>
        <w:t>二.</w:t>
      </w:r>
      <w:r>
        <w:rPr>
          <w:rFonts w:hint="eastAsia" w:ascii="黑体" w:hAnsi="黑体" w:eastAsia="黑体" w:cs="黑体"/>
          <w:b/>
          <w:bCs/>
          <w:sz w:val="32"/>
          <w:szCs w:val="32"/>
        </w:rPr>
        <w:t>验收</w:t>
      </w:r>
    </w:p>
    <w:p w14:paraId="664E95A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成交供应商在供货、工程竣工或服务结束后，采购人应及时组织验收，并按照采购文件、响应文件及合同约定填写验收单。</w:t>
      </w:r>
    </w:p>
    <w:p w14:paraId="0C4EA9CE">
      <w:pPr>
        <w:numPr>
          <w:ilvl w:val="0"/>
          <w:numId w:val="0"/>
        </w:numPr>
        <w:ind w:left="120" w:leftChars="0"/>
        <w:jc w:val="both"/>
        <w:rPr>
          <w:rFonts w:hint="default" w:ascii="宋体" w:hAnsi="宋体" w:eastAsia="宋体" w:cs="宋体"/>
          <w:sz w:val="24"/>
          <w:szCs w:val="24"/>
          <w:lang w:val="en-US" w:eastAsia="zh-CN"/>
        </w:rPr>
      </w:pPr>
    </w:p>
    <w:p w14:paraId="75BD1EC5">
      <w:pPr>
        <w:numPr>
          <w:ilvl w:val="0"/>
          <w:numId w:val="0"/>
        </w:numPr>
        <w:ind w:leftChars="0"/>
        <w:jc w:val="both"/>
        <w:rPr>
          <w:rFonts w:hint="default" w:ascii="宋体" w:hAnsi="宋体" w:eastAsia="宋体" w:cs="宋体"/>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2136AC8-B410-4734-A41C-94F3AC69879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auto"/>
    <w:pitch w:val="default"/>
    <w:sig w:usb0="00000001" w:usb1="080E0000" w:usb2="00000000" w:usb3="00000000" w:csb0="00040000" w:csb1="00000000"/>
    <w:embedRegular r:id="rId2" w:fontKey="{AAD9D482-BFED-4087-9666-F6DFD48E0360}"/>
  </w:font>
  <w:font w:name="仿宋">
    <w:panose1 w:val="02010609060101010101"/>
    <w:charset w:val="86"/>
    <w:family w:val="auto"/>
    <w:pitch w:val="default"/>
    <w:sig w:usb0="800002BF" w:usb1="38CF7CFA" w:usb2="00000016" w:usb3="00000000" w:csb0="00040001" w:csb1="00000000"/>
    <w:embedRegular r:id="rId3" w:fontKey="{322D982C-DBD5-42DA-82BE-BA8790A485E9}"/>
  </w:font>
  <w:font w:name="方正公文小标宋">
    <w:panose1 w:val="02000500000000000000"/>
    <w:charset w:val="86"/>
    <w:family w:val="auto"/>
    <w:pitch w:val="default"/>
    <w:sig w:usb0="A00002BF" w:usb1="38CF7CFA" w:usb2="00000016" w:usb3="00000000" w:csb0="00040001" w:csb1="00000000"/>
    <w:embedRegular r:id="rId4" w:fontKey="{BC87D639-AB4D-4B33-A898-92107BFAB7C6}"/>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C16231"/>
    <w:multiLevelType w:val="singleLevel"/>
    <w:tmpl w:val="D0C16231"/>
    <w:lvl w:ilvl="0" w:tentative="0">
      <w:start w:val="2"/>
      <w:numFmt w:val="chineseCounting"/>
      <w:suff w:val="space"/>
      <w:lvlText w:val="第%1章"/>
      <w:lvlJc w:val="left"/>
      <w:rPr>
        <w:rFonts w:hint="eastAsia"/>
      </w:rPr>
    </w:lvl>
  </w:abstractNum>
  <w:abstractNum w:abstractNumId="1">
    <w:nsid w:val="F1991BDD"/>
    <w:multiLevelType w:val="singleLevel"/>
    <w:tmpl w:val="F1991BDD"/>
    <w:lvl w:ilvl="0" w:tentative="0">
      <w:start w:val="1"/>
      <w:numFmt w:val="decimal"/>
      <w:suff w:val="nothing"/>
      <w:lvlText w:val="%1、"/>
      <w:lvlJc w:val="left"/>
    </w:lvl>
  </w:abstractNum>
  <w:abstractNum w:abstractNumId="2">
    <w:nsid w:val="405A7085"/>
    <w:multiLevelType w:val="singleLevel"/>
    <w:tmpl w:val="405A7085"/>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EwZThjNDhmMjhmNjE1YmU4OWY4MzUxYjhlMDkxZDYifQ=="/>
  </w:docVars>
  <w:rsids>
    <w:rsidRoot w:val="00000000"/>
    <w:rsid w:val="013B4944"/>
    <w:rsid w:val="01560C54"/>
    <w:rsid w:val="020967F0"/>
    <w:rsid w:val="02BE3A7E"/>
    <w:rsid w:val="02EA4873"/>
    <w:rsid w:val="03030083"/>
    <w:rsid w:val="035B751F"/>
    <w:rsid w:val="039B5B6E"/>
    <w:rsid w:val="04F75026"/>
    <w:rsid w:val="06240855"/>
    <w:rsid w:val="06823015"/>
    <w:rsid w:val="06C0067B"/>
    <w:rsid w:val="074402CA"/>
    <w:rsid w:val="07F04193"/>
    <w:rsid w:val="0A981059"/>
    <w:rsid w:val="0ADD26BB"/>
    <w:rsid w:val="0D1F3722"/>
    <w:rsid w:val="0FDF5034"/>
    <w:rsid w:val="1025513D"/>
    <w:rsid w:val="104B26C9"/>
    <w:rsid w:val="10FB5E9E"/>
    <w:rsid w:val="114E27A8"/>
    <w:rsid w:val="13053004"/>
    <w:rsid w:val="13655850"/>
    <w:rsid w:val="172D0D7B"/>
    <w:rsid w:val="1A3441CE"/>
    <w:rsid w:val="1C933A8A"/>
    <w:rsid w:val="1D6C7E3B"/>
    <w:rsid w:val="1E334EC9"/>
    <w:rsid w:val="1F792DAF"/>
    <w:rsid w:val="201A15E6"/>
    <w:rsid w:val="20484530"/>
    <w:rsid w:val="209756E1"/>
    <w:rsid w:val="21845A3B"/>
    <w:rsid w:val="24A87C93"/>
    <w:rsid w:val="26832765"/>
    <w:rsid w:val="26E01966"/>
    <w:rsid w:val="298A7967"/>
    <w:rsid w:val="2ED578D6"/>
    <w:rsid w:val="2F0A6125"/>
    <w:rsid w:val="301B756B"/>
    <w:rsid w:val="323D1A1A"/>
    <w:rsid w:val="32910BFC"/>
    <w:rsid w:val="32B016DA"/>
    <w:rsid w:val="33215697"/>
    <w:rsid w:val="35A40002"/>
    <w:rsid w:val="36464D08"/>
    <w:rsid w:val="374B347F"/>
    <w:rsid w:val="37AB5678"/>
    <w:rsid w:val="393873DF"/>
    <w:rsid w:val="3AB42A96"/>
    <w:rsid w:val="3B3F2CA7"/>
    <w:rsid w:val="3D073351"/>
    <w:rsid w:val="3D4A5933"/>
    <w:rsid w:val="3D597924"/>
    <w:rsid w:val="3D5E4F3B"/>
    <w:rsid w:val="3E86299B"/>
    <w:rsid w:val="3F4D34B9"/>
    <w:rsid w:val="3F6727CC"/>
    <w:rsid w:val="3FCA6533"/>
    <w:rsid w:val="3FD339BE"/>
    <w:rsid w:val="40361A28"/>
    <w:rsid w:val="40495688"/>
    <w:rsid w:val="41207346"/>
    <w:rsid w:val="412C782A"/>
    <w:rsid w:val="42E27706"/>
    <w:rsid w:val="42FC322C"/>
    <w:rsid w:val="43C55D14"/>
    <w:rsid w:val="46CE4EDF"/>
    <w:rsid w:val="46EA43F0"/>
    <w:rsid w:val="47136D96"/>
    <w:rsid w:val="488416E9"/>
    <w:rsid w:val="4957740E"/>
    <w:rsid w:val="4AB05BCA"/>
    <w:rsid w:val="4B217CD3"/>
    <w:rsid w:val="4C532DE7"/>
    <w:rsid w:val="4FFF3945"/>
    <w:rsid w:val="50E81293"/>
    <w:rsid w:val="52B07B8F"/>
    <w:rsid w:val="533662E6"/>
    <w:rsid w:val="53F60A68"/>
    <w:rsid w:val="546907FD"/>
    <w:rsid w:val="546E59D5"/>
    <w:rsid w:val="56AB2B47"/>
    <w:rsid w:val="57792C45"/>
    <w:rsid w:val="57B819BF"/>
    <w:rsid w:val="5A955FE8"/>
    <w:rsid w:val="5AC4213F"/>
    <w:rsid w:val="5AF2343A"/>
    <w:rsid w:val="5B190504"/>
    <w:rsid w:val="5B746D4E"/>
    <w:rsid w:val="5CBF24DB"/>
    <w:rsid w:val="5EE96902"/>
    <w:rsid w:val="5F053010"/>
    <w:rsid w:val="626A44AE"/>
    <w:rsid w:val="629E7A04"/>
    <w:rsid w:val="64CC0858"/>
    <w:rsid w:val="666A0329"/>
    <w:rsid w:val="67C01E6B"/>
    <w:rsid w:val="69564B94"/>
    <w:rsid w:val="698E2580"/>
    <w:rsid w:val="69E13362"/>
    <w:rsid w:val="6A890F99"/>
    <w:rsid w:val="6DBE7FC5"/>
    <w:rsid w:val="701047BC"/>
    <w:rsid w:val="701778DC"/>
    <w:rsid w:val="714B51FB"/>
    <w:rsid w:val="72A67CBA"/>
    <w:rsid w:val="74017DF2"/>
    <w:rsid w:val="75F93477"/>
    <w:rsid w:val="76CA4E14"/>
    <w:rsid w:val="776963DA"/>
    <w:rsid w:val="77A46F86"/>
    <w:rsid w:val="78454752"/>
    <w:rsid w:val="792A1B99"/>
    <w:rsid w:val="7AD27203"/>
    <w:rsid w:val="7D821FA4"/>
    <w:rsid w:val="7EBE7110"/>
    <w:rsid w:val="7F275A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4895</Words>
  <Characters>5036</Characters>
  <Lines>0</Lines>
  <Paragraphs>0</Paragraphs>
  <TotalTime>7</TotalTime>
  <ScaleCrop>false</ScaleCrop>
  <LinksUpToDate>false</LinksUpToDate>
  <CharactersWithSpaces>5126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2022-07-26T06:31:00Z</dcterms:created>
  <dc:creator>Administrator</dc:creator>
  <cp:lastModifiedBy>A李宁</cp:lastModifiedBy>
  <dcterms:modified xsi:type="dcterms:W3CDTF">2026-02-04T06:29:14Z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4BF6CB13CE40427CBDEDD2BD96E137BB_13</vt:lpwstr>
  </property>
  <property fmtid="{D5CDD505-2E9C-101B-9397-08002B2CF9AE}" pid="4" name="KSOTemplateDocerSaveRecord">
    <vt:lpwstr>eyJoZGlkIjoiNTg2OWQ3OTYzYzkxZTE5NWQwNDljOGY3ZjQzMWRjNjMiLCJ1c2VySWQiOiI0MDA1MTA1MjkifQ==</vt:lpwstr>
  </property>
</Properties>
</file>