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F6AF4">
      <w:pPr>
        <w:jc w:val="center"/>
        <w:rPr>
          <w:rFonts w:hint="eastAsia" w:ascii="方正小标宋_GBK" w:hAnsi="方正小标宋_GBK" w:eastAsia="方正小标宋_GBK" w:cs="方正小标宋_GBK"/>
          <w:b/>
          <w:bCs/>
          <w:sz w:val="44"/>
          <w:szCs w:val="44"/>
        </w:rPr>
      </w:pPr>
    </w:p>
    <w:p w14:paraId="5C4C2F1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呼伦贝尔市第二人民医院（呼伦贝尔市传染病医院）院感系统维保服务采购需求</w:t>
      </w:r>
    </w:p>
    <w:p w14:paraId="47A510F1">
      <w:pPr>
        <w:pStyle w:val="2"/>
        <w:rPr>
          <w:rFonts w:hint="eastAsia"/>
        </w:rPr>
      </w:pPr>
    </w:p>
    <w:p w14:paraId="22382AF8">
      <w:pPr>
        <w:pStyle w:val="21"/>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一、项目概况</w:t>
      </w:r>
    </w:p>
    <w:p w14:paraId="0D53C82D">
      <w:pPr>
        <w:ind w:firstLine="640" w:firstLineChars="200"/>
        <w:rPr>
          <w:rFonts w:hint="eastAsia" w:ascii="仿宋" w:hAnsi="仿宋" w:eastAsia="仿宋" w:cs="仿宋"/>
          <w:kern w:val="0"/>
          <w:sz w:val="32"/>
          <w:szCs w:val="32"/>
        </w:rPr>
      </w:pPr>
      <w:r>
        <w:rPr>
          <w:rFonts w:hint="eastAsia" w:ascii="仿宋" w:hAnsi="仿宋" w:eastAsia="仿宋"/>
          <w:kern w:val="0"/>
          <w:sz w:val="32"/>
          <w:szCs w:val="32"/>
        </w:rPr>
        <w:t>随着医疗信息化建设的快速推进，医院对感染防控数字化的依赖程度日益加深。我院已部署</w:t>
      </w:r>
      <w:r>
        <w:rPr>
          <w:rFonts w:hint="eastAsia" w:ascii="仿宋" w:hAnsi="仿宋" w:eastAsia="仿宋" w:cs="仿宋"/>
          <w:kern w:val="0"/>
          <w:sz w:val="32"/>
          <w:szCs w:val="32"/>
        </w:rPr>
        <w:t>医院院感实时监控系统，实现对感染风险实时监测。当前</w:t>
      </w:r>
      <w:r>
        <w:rPr>
          <w:rFonts w:hint="eastAsia" w:ascii="仿宋" w:hAnsi="仿宋" w:eastAsia="仿宋" w:cs="仿宋"/>
          <w:kern w:val="0"/>
          <w:sz w:val="32"/>
          <w:szCs w:val="32"/>
          <w:lang w:val="en-US" w:eastAsia="zh-CN"/>
        </w:rPr>
        <w:t>该</w:t>
      </w:r>
      <w:r>
        <w:rPr>
          <w:rFonts w:hint="eastAsia" w:ascii="仿宋" w:hAnsi="仿宋" w:eastAsia="仿宋" w:cs="仿宋"/>
          <w:kern w:val="0"/>
          <w:sz w:val="32"/>
          <w:szCs w:val="32"/>
        </w:rPr>
        <w:t>系统已深度融入临床、医技及管理部门业务，成为医院感染防控的核心支撑平台，但这套系统的维保服务已到期，为确保系统持续稳定运行、功能迭代优化及数据安全合规，现准备对</w:t>
      </w:r>
      <w:r>
        <w:rPr>
          <w:rFonts w:hint="eastAsia" w:ascii="仿宋" w:hAnsi="仿宋" w:eastAsia="仿宋" w:cs="仿宋"/>
          <w:kern w:val="0"/>
          <w:sz w:val="32"/>
          <w:szCs w:val="32"/>
          <w:lang w:val="en-US" w:eastAsia="zh-CN"/>
        </w:rPr>
        <w:t>该</w:t>
      </w:r>
      <w:r>
        <w:rPr>
          <w:rFonts w:hint="eastAsia" w:ascii="仿宋" w:hAnsi="仿宋" w:eastAsia="仿宋" w:cs="仿宋"/>
          <w:kern w:val="0"/>
          <w:sz w:val="32"/>
          <w:szCs w:val="32"/>
        </w:rPr>
        <w:t>系统进行维保续签。</w:t>
      </w:r>
    </w:p>
    <w:p w14:paraId="2D4E7782">
      <w:pPr>
        <w:pStyle w:val="2"/>
        <w:numPr>
          <w:ilvl w:val="0"/>
          <w:numId w:val="0"/>
        </w:numPr>
        <w:ind w:firstLine="643" w:firstLineChars="200"/>
        <w:rPr>
          <w:rFonts w:hint="eastAsia" w:ascii="黑体" w:hAnsi="黑体" w:eastAsia="黑体" w:cs="黑体"/>
          <w:b/>
          <w:bCs/>
          <w:sz w:val="32"/>
          <w:szCs w:val="32"/>
        </w:rPr>
      </w:pPr>
      <w:r>
        <w:rPr>
          <w:rFonts w:hint="eastAsia" w:ascii="黑体" w:hAnsi="黑体" w:eastAsia="黑体" w:cs="黑体"/>
          <w:b/>
          <w:bCs/>
          <w:kern w:val="2"/>
          <w:sz w:val="32"/>
          <w:szCs w:val="32"/>
          <w:lang w:val="en-US" w:eastAsia="zh-CN" w:bidi="ar-SA"/>
        </w:rPr>
        <w:t>二、</w:t>
      </w:r>
      <w:r>
        <w:rPr>
          <w:rFonts w:hint="eastAsia" w:ascii="黑体" w:hAnsi="黑体" w:eastAsia="黑体" w:cs="黑体"/>
          <w:b/>
          <w:bCs/>
          <w:sz w:val="32"/>
          <w:szCs w:val="32"/>
        </w:rPr>
        <w:t>院感系统</w:t>
      </w:r>
      <w:r>
        <w:rPr>
          <w:rFonts w:hint="eastAsia" w:ascii="黑体" w:hAnsi="黑体" w:eastAsia="黑体" w:cs="黑体"/>
          <w:b/>
          <w:bCs/>
          <w:sz w:val="32"/>
          <w:szCs w:val="32"/>
          <w:lang w:val="en-US" w:eastAsia="zh-CN"/>
        </w:rPr>
        <w:t>维保技术、商务</w:t>
      </w:r>
      <w:r>
        <w:rPr>
          <w:rFonts w:hint="eastAsia" w:ascii="黑体" w:hAnsi="黑体" w:eastAsia="黑体" w:cs="黑体"/>
          <w:b/>
          <w:bCs/>
          <w:sz w:val="32"/>
          <w:szCs w:val="32"/>
        </w:rPr>
        <w:t>要求</w:t>
      </w:r>
    </w:p>
    <w:p w14:paraId="3F9434F7">
      <w:pPr>
        <w:pStyle w:val="2"/>
        <w:numPr>
          <w:ilvl w:val="0"/>
          <w:numId w:val="0"/>
        </w:num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（一）医院感染实时监控系统服务内容</w:t>
      </w:r>
    </w:p>
    <w:tbl>
      <w:tblPr>
        <w:tblStyle w:val="30"/>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6667"/>
        <w:gridCol w:w="1001"/>
      </w:tblGrid>
      <w:tr w14:paraId="169D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tcPr>
          <w:p w14:paraId="1E19F8C0">
            <w:pPr>
              <w:jc w:val="center"/>
              <w:rPr>
                <w:rFonts w:ascii="仿宋" w:hAnsi="仿宋" w:eastAsia="仿宋"/>
                <w:b/>
                <w:bCs/>
                <w:sz w:val="24"/>
                <w:szCs w:val="24"/>
              </w:rPr>
            </w:pPr>
            <w:r>
              <w:rPr>
                <w:rFonts w:hint="eastAsia" w:ascii="仿宋" w:hAnsi="仿宋" w:eastAsia="仿宋"/>
                <w:b/>
                <w:bCs/>
                <w:sz w:val="24"/>
                <w:szCs w:val="24"/>
              </w:rPr>
              <w:t>服务名称</w:t>
            </w:r>
          </w:p>
        </w:tc>
        <w:tc>
          <w:tcPr>
            <w:tcW w:w="3578" w:type="pct"/>
          </w:tcPr>
          <w:p w14:paraId="13F3985E">
            <w:pPr>
              <w:jc w:val="center"/>
              <w:rPr>
                <w:rFonts w:ascii="仿宋" w:hAnsi="仿宋" w:eastAsia="仿宋"/>
                <w:b/>
                <w:bCs/>
                <w:sz w:val="24"/>
                <w:szCs w:val="24"/>
              </w:rPr>
            </w:pPr>
            <w:r>
              <w:rPr>
                <w:rFonts w:hint="eastAsia" w:ascii="仿宋" w:hAnsi="仿宋" w:eastAsia="仿宋"/>
                <w:b/>
                <w:bCs/>
                <w:sz w:val="24"/>
                <w:szCs w:val="24"/>
              </w:rPr>
              <w:t>服务内容</w:t>
            </w:r>
          </w:p>
        </w:tc>
        <w:tc>
          <w:tcPr>
            <w:tcW w:w="537" w:type="pct"/>
          </w:tcPr>
          <w:p w14:paraId="3AC92D65">
            <w:pPr>
              <w:jc w:val="center"/>
              <w:rPr>
                <w:rFonts w:ascii="仿宋" w:hAnsi="仿宋" w:eastAsia="仿宋"/>
                <w:b/>
                <w:bCs/>
                <w:sz w:val="24"/>
                <w:szCs w:val="24"/>
              </w:rPr>
            </w:pPr>
            <w:r>
              <w:rPr>
                <w:rFonts w:hint="eastAsia" w:ascii="仿宋" w:hAnsi="仿宋" w:eastAsia="仿宋"/>
                <w:b/>
                <w:bCs/>
                <w:sz w:val="24"/>
                <w:szCs w:val="24"/>
              </w:rPr>
              <w:t>数量</w:t>
            </w:r>
          </w:p>
        </w:tc>
      </w:tr>
      <w:tr w14:paraId="4498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shd w:val="clear" w:color="auto" w:fill="FFFFFF"/>
            <w:vAlign w:val="center"/>
          </w:tcPr>
          <w:p w14:paraId="7D45974B">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系统升级</w:t>
            </w:r>
          </w:p>
        </w:tc>
        <w:tc>
          <w:tcPr>
            <w:tcW w:w="3578" w:type="pct"/>
            <w:shd w:val="clear" w:color="auto" w:fill="FFFFFF"/>
            <w:vAlign w:val="center"/>
          </w:tcPr>
          <w:p w14:paraId="323684B9">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 xml:space="preserve">安排工程师为医院进行系统升级，提供各项升级后的服务内容：  </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1、优化系统现有功能，提高使用科室工作效率并提升系统使用稳定性；</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2、提供契合于国家最新院感监测规范的各类功能模块，如：</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2.1、配合《关于印发“提高住院患者抗菌药物治疗前病原学送检率”专项行动指导意见的函》，开展医院感染诊断相关病原学送检率、联用使用重点药物前病原学送检率等;</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2.2、针对《医院感染监测标准2023版》，推出新职业暴露，多耐药去重计算等多个新标准计算模块，更好的配合医院开展新标准下的现患调查、耐药检出率、ICU感染率等监测工作。</w:t>
            </w:r>
          </w:p>
        </w:tc>
        <w:tc>
          <w:tcPr>
            <w:tcW w:w="537" w:type="pct"/>
            <w:vAlign w:val="center"/>
          </w:tcPr>
          <w:p w14:paraId="5DF84927">
            <w:pPr>
              <w:jc w:val="center"/>
              <w:rPr>
                <w:rFonts w:ascii="仿宋" w:hAnsi="仿宋" w:eastAsia="仿宋"/>
                <w:b/>
                <w:bCs/>
                <w:sz w:val="24"/>
                <w:szCs w:val="24"/>
              </w:rPr>
            </w:pPr>
            <w:r>
              <w:rPr>
                <w:rFonts w:hint="eastAsia" w:ascii="仿宋" w:hAnsi="仿宋" w:eastAsia="仿宋" w:cs="仿宋"/>
                <w:color w:val="000000"/>
                <w:kern w:val="0"/>
                <w:sz w:val="24"/>
                <w:szCs w:val="24"/>
                <w:lang w:bidi="ar"/>
              </w:rPr>
              <w:t>1项</w:t>
            </w:r>
          </w:p>
        </w:tc>
      </w:tr>
      <w:tr w14:paraId="3ED4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shd w:val="clear" w:color="auto" w:fill="FFFFFF"/>
            <w:vAlign w:val="center"/>
          </w:tcPr>
          <w:p w14:paraId="65A2B238">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技术支持</w:t>
            </w:r>
          </w:p>
        </w:tc>
        <w:tc>
          <w:tcPr>
            <w:tcW w:w="3578" w:type="pct"/>
            <w:shd w:val="clear" w:color="auto" w:fill="FFFFFF"/>
            <w:vAlign w:val="center"/>
          </w:tcPr>
          <w:p w14:paraId="14006BDF">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通过向日葵、VPN 等远程工具进行服务，保证感控科反馈的问题能够及时完成处理。在周末及节假日期间提供专人值班服务，保证周末及节假日为感控科提供各项服务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1、通过远程的方式为医院相关使用人员解答系统功能使用方面的问题;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2、通过远程的方式为院感科解答业务数据方面相关问题，为精准的数据质量提供保障</w:t>
            </w:r>
          </w:p>
        </w:tc>
        <w:tc>
          <w:tcPr>
            <w:tcW w:w="537" w:type="pct"/>
            <w:vAlign w:val="center"/>
          </w:tcPr>
          <w:p w14:paraId="2C155833">
            <w:pPr>
              <w:jc w:val="center"/>
              <w:rPr>
                <w:rFonts w:ascii="仿宋" w:hAnsi="仿宋" w:eastAsia="仿宋"/>
                <w:b/>
                <w:bCs/>
                <w:sz w:val="24"/>
                <w:szCs w:val="24"/>
              </w:rPr>
            </w:pPr>
            <w:r>
              <w:rPr>
                <w:rFonts w:hint="eastAsia" w:ascii="仿宋" w:hAnsi="仿宋" w:eastAsia="仿宋" w:cs="仿宋"/>
                <w:color w:val="000000"/>
                <w:kern w:val="0"/>
                <w:sz w:val="24"/>
                <w:szCs w:val="24"/>
                <w:lang w:bidi="ar"/>
              </w:rPr>
              <w:t>1项</w:t>
            </w:r>
          </w:p>
        </w:tc>
      </w:tr>
      <w:tr w14:paraId="5DCA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shd w:val="clear" w:color="auto" w:fill="FFFFFF"/>
            <w:vAlign w:val="center"/>
          </w:tcPr>
          <w:p w14:paraId="727710A1">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系统使用咨询</w:t>
            </w:r>
          </w:p>
        </w:tc>
        <w:tc>
          <w:tcPr>
            <w:tcW w:w="3578" w:type="pct"/>
            <w:shd w:val="clear" w:color="auto" w:fill="FFFFFF"/>
            <w:vAlign w:val="center"/>
          </w:tcPr>
          <w:p w14:paraId="7634886A">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为使用科室提供咨询解答服务，保障院内日常监测工作的开展</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1、通过远程的方式为院感科提供解读预警诊断策略服务;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2、通过远程的方式为院感科提供解读系统各统计界面报表统计逻辑服务;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3、通过远程的方式为医院相关使用人员提供系统各功能模块的功能讲解服务，保障使用人员对于系统功能的正常使用;</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4、为院感科讲解各项院感监测业务，涵盖业务背景、监测难点、常见问题；基于各项业务的监测难点和常见问题，结合区域内监测方向和要求，提供专业化建议。</w:t>
            </w:r>
          </w:p>
        </w:tc>
        <w:tc>
          <w:tcPr>
            <w:tcW w:w="537" w:type="pct"/>
            <w:vAlign w:val="center"/>
          </w:tcPr>
          <w:p w14:paraId="7B6D0BDC">
            <w:pPr>
              <w:jc w:val="center"/>
              <w:rPr>
                <w:rFonts w:ascii="仿宋" w:hAnsi="仿宋" w:eastAsia="仿宋"/>
                <w:b/>
                <w:bCs/>
                <w:sz w:val="24"/>
                <w:szCs w:val="24"/>
              </w:rPr>
            </w:pPr>
            <w:r>
              <w:rPr>
                <w:rFonts w:hint="eastAsia" w:ascii="仿宋" w:hAnsi="仿宋" w:eastAsia="仿宋" w:cs="仿宋"/>
                <w:color w:val="000000"/>
                <w:kern w:val="0"/>
                <w:sz w:val="24"/>
                <w:szCs w:val="24"/>
                <w:lang w:bidi="ar"/>
              </w:rPr>
              <w:t>1项</w:t>
            </w:r>
          </w:p>
        </w:tc>
      </w:tr>
      <w:tr w14:paraId="357A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shd w:val="clear" w:color="auto" w:fill="FFFFFF"/>
            <w:vAlign w:val="center"/>
          </w:tcPr>
          <w:p w14:paraId="09125CC4">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数据备份运行情况检查</w:t>
            </w:r>
          </w:p>
        </w:tc>
        <w:tc>
          <w:tcPr>
            <w:tcW w:w="3578" w:type="pct"/>
            <w:shd w:val="clear" w:color="auto" w:fill="FFFFFF"/>
            <w:vAlign w:val="center"/>
          </w:tcPr>
          <w:p w14:paraId="0C25F7F1">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定期巡查服务器系统备份机制，并出具专业化的数据备份巡检报告；</w:t>
            </w:r>
          </w:p>
        </w:tc>
        <w:tc>
          <w:tcPr>
            <w:tcW w:w="537" w:type="pct"/>
            <w:vAlign w:val="center"/>
          </w:tcPr>
          <w:p w14:paraId="5F69FD97">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1项</w:t>
            </w:r>
          </w:p>
        </w:tc>
      </w:tr>
      <w:tr w14:paraId="63FF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shd w:val="clear" w:color="auto" w:fill="FFFFFF"/>
            <w:vAlign w:val="center"/>
          </w:tcPr>
          <w:p w14:paraId="66C56CE6">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数据恢复及系统迁移</w:t>
            </w:r>
          </w:p>
        </w:tc>
        <w:tc>
          <w:tcPr>
            <w:tcW w:w="3578" w:type="pct"/>
            <w:shd w:val="clear" w:color="auto" w:fill="FFFFFF"/>
            <w:vAlign w:val="center"/>
          </w:tcPr>
          <w:p w14:paraId="1EC0EF0D">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提供系统数据恢复及系统迁移服务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1、根据医院目前实际拥有的备份文件内容，在医院存在需求的情况下，对数据内容还原恢复至特定时间点，有效保证数据的完整性；</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2、根据医院的需求，对业务系统进行迁移部署，并完成系统调试工作，确保使用正常</w:t>
            </w:r>
          </w:p>
        </w:tc>
        <w:tc>
          <w:tcPr>
            <w:tcW w:w="537" w:type="pct"/>
            <w:vAlign w:val="center"/>
          </w:tcPr>
          <w:p w14:paraId="4588B9A9">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1项</w:t>
            </w:r>
          </w:p>
        </w:tc>
      </w:tr>
      <w:tr w14:paraId="7B1A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884" w:type="pct"/>
            <w:shd w:val="clear" w:color="auto" w:fill="FFFFFF"/>
            <w:vAlign w:val="center"/>
          </w:tcPr>
          <w:p w14:paraId="39DF23EC">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NIS 服务器宕机修复</w:t>
            </w:r>
          </w:p>
        </w:tc>
        <w:tc>
          <w:tcPr>
            <w:tcW w:w="3578" w:type="pct"/>
            <w:shd w:val="clear" w:color="auto" w:fill="FFFFFF"/>
            <w:vAlign w:val="center"/>
          </w:tcPr>
          <w:p w14:paraId="6E83DCEE">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当医院NIS 服务器出现宕机情况时，修复院感服务器并完成数据恢复及更新，确保服务器恢复正常；</w:t>
            </w:r>
          </w:p>
        </w:tc>
        <w:tc>
          <w:tcPr>
            <w:tcW w:w="537" w:type="pct"/>
            <w:vAlign w:val="center"/>
          </w:tcPr>
          <w:p w14:paraId="727F7FB9">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1项</w:t>
            </w:r>
          </w:p>
        </w:tc>
      </w:tr>
      <w:tr w14:paraId="4409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shd w:val="clear" w:color="auto" w:fill="FFFFFF"/>
            <w:vAlign w:val="center"/>
          </w:tcPr>
          <w:p w14:paraId="2B63AFB0">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服务器远程巡检</w:t>
            </w:r>
          </w:p>
        </w:tc>
        <w:tc>
          <w:tcPr>
            <w:tcW w:w="3578" w:type="pct"/>
            <w:shd w:val="clear" w:color="auto" w:fill="FFFFFF"/>
            <w:vAlign w:val="center"/>
          </w:tcPr>
          <w:p w14:paraId="3E1A75A8">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每年定期对服务器运行环境进行巡检，巡检内容包括：服务器内存情况评估、硬盘情况评估、系统运行稳定性评估等，有效避免并解决：</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1、服务器磁盘空间不足问题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2、服务器系统运行卡顿问题</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3、服务器安全方面防护问题</w:t>
            </w:r>
          </w:p>
        </w:tc>
        <w:tc>
          <w:tcPr>
            <w:tcW w:w="537" w:type="pct"/>
            <w:vAlign w:val="center"/>
          </w:tcPr>
          <w:p w14:paraId="51601FCD">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1项</w:t>
            </w:r>
          </w:p>
        </w:tc>
      </w:tr>
      <w:tr w14:paraId="502C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shd w:val="clear" w:color="auto" w:fill="FFFFFF"/>
            <w:vAlign w:val="center"/>
          </w:tcPr>
          <w:p w14:paraId="5E2C9D85">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数据上报</w:t>
            </w:r>
          </w:p>
        </w:tc>
        <w:tc>
          <w:tcPr>
            <w:tcW w:w="3578" w:type="pct"/>
            <w:shd w:val="clear" w:color="auto" w:fill="FFFFFF"/>
            <w:vAlign w:val="center"/>
          </w:tcPr>
          <w:p w14:paraId="0CA6A1F1">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根据区域数据上报要求，提供数据上报服务</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1、协助医院完成NICC/NIRC数据上报；</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2、协助医院完成抗菌药物治疗前病原学送检专项整改、哨点医院数据上报；</w:t>
            </w:r>
            <w:r>
              <w:rPr>
                <w:rFonts w:hint="eastAsia" w:ascii="仿宋" w:hAnsi="仿宋" w:eastAsia="仿宋" w:cs="仿宋"/>
                <w:b w:val="0"/>
                <w:i w:val="0"/>
                <w:iCs w:val="0"/>
                <w:color w:val="000000"/>
                <w:kern w:val="0"/>
                <w:sz w:val="24"/>
                <w:szCs w:val="24"/>
                <w:u w:val="none"/>
                <w:lang w:val="en-US" w:eastAsia="zh-CN" w:bidi="ar"/>
              </w:rPr>
              <w:br w:type="textWrapping"/>
            </w:r>
            <w:r>
              <w:rPr>
                <w:rFonts w:hint="eastAsia" w:ascii="仿宋" w:hAnsi="仿宋" w:eastAsia="仿宋" w:cs="仿宋"/>
                <w:b w:val="0"/>
                <w:i w:val="0"/>
                <w:iCs w:val="0"/>
                <w:color w:val="000000"/>
                <w:kern w:val="0"/>
                <w:sz w:val="24"/>
                <w:szCs w:val="24"/>
                <w:u w:val="none"/>
                <w:lang w:val="en-US" w:eastAsia="zh-CN" w:bidi="ar"/>
              </w:rPr>
              <w:t>3、协助医院完成现患率上报；</w:t>
            </w:r>
          </w:p>
        </w:tc>
        <w:tc>
          <w:tcPr>
            <w:tcW w:w="537" w:type="pct"/>
            <w:vAlign w:val="center"/>
          </w:tcPr>
          <w:p w14:paraId="74387B3D">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1项</w:t>
            </w:r>
          </w:p>
        </w:tc>
      </w:tr>
      <w:tr w14:paraId="11C3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shd w:val="clear" w:color="auto" w:fill="FFFFFF"/>
            <w:vAlign w:val="center"/>
          </w:tcPr>
          <w:p w14:paraId="699FE849">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区域监测报告反馈</w:t>
            </w:r>
          </w:p>
        </w:tc>
        <w:tc>
          <w:tcPr>
            <w:tcW w:w="3578" w:type="pct"/>
            <w:shd w:val="clear" w:color="auto" w:fill="FFFFFF"/>
            <w:vAlign w:val="center"/>
          </w:tcPr>
          <w:p w14:paraId="6EF1380D">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提供单家医院季度/年度报告，配合医院通过报告了解季度/年度该院医院的各指标情况以及所在省市的各指标概况。</w:t>
            </w:r>
          </w:p>
        </w:tc>
        <w:tc>
          <w:tcPr>
            <w:tcW w:w="537" w:type="pct"/>
            <w:vAlign w:val="center"/>
          </w:tcPr>
          <w:p w14:paraId="099802ED">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1项</w:t>
            </w:r>
          </w:p>
        </w:tc>
      </w:tr>
      <w:tr w14:paraId="0EC9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pct"/>
            <w:shd w:val="clear" w:color="auto" w:fill="FFFFFF"/>
            <w:vAlign w:val="center"/>
          </w:tcPr>
          <w:p w14:paraId="2D06AF8B">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数据核查</w:t>
            </w:r>
          </w:p>
        </w:tc>
        <w:tc>
          <w:tcPr>
            <w:tcW w:w="3578" w:type="pct"/>
            <w:shd w:val="clear" w:color="auto" w:fill="FFFFFF"/>
            <w:vAlign w:val="center"/>
          </w:tcPr>
          <w:p w14:paraId="4E9E3DDF">
            <w:pPr>
              <w:keepNext w:val="0"/>
              <w:keepLines w:val="0"/>
              <w:widowControl/>
              <w:suppressLineNumbers w:val="0"/>
              <w:jc w:val="left"/>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根据医院已有业务系统的情况提供数据质量校准方案，为院感监测工作提供准确的数据基础，保障院感监测工作的有效开展，确保医院数据的一致性和准确性。</w:t>
            </w:r>
          </w:p>
        </w:tc>
        <w:tc>
          <w:tcPr>
            <w:tcW w:w="537" w:type="pct"/>
            <w:vAlign w:val="center"/>
          </w:tcPr>
          <w:p w14:paraId="7CDE0F4A">
            <w:pPr>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1项</w:t>
            </w:r>
          </w:p>
        </w:tc>
      </w:tr>
    </w:tbl>
    <w:p w14:paraId="1C1DC4AA">
      <w:pPr>
        <w:numPr>
          <w:ilvl w:val="0"/>
          <w:numId w:val="0"/>
        </w:numPr>
        <w:ind w:firstLine="643" w:firstLineChars="200"/>
        <w:rPr>
          <w:rFonts w:hint="eastAsia" w:ascii="楷体" w:hAnsi="楷体" w:eastAsia="楷体" w:cs="楷体"/>
          <w:b/>
          <w:bCs/>
          <w:kern w:val="2"/>
          <w:sz w:val="32"/>
          <w:szCs w:val="32"/>
          <w:lang w:val="en-US" w:eastAsia="zh-CN" w:bidi="ar-SA"/>
        </w:rPr>
      </w:pPr>
    </w:p>
    <w:p w14:paraId="653EF6D6">
      <w:pPr>
        <w:numPr>
          <w:ilvl w:val="0"/>
          <w:numId w:val="0"/>
        </w:numPr>
        <w:ind w:firstLine="643" w:firstLineChars="200"/>
        <w:rPr>
          <w:rFonts w:hint="eastAsia" w:ascii="楷体" w:hAnsi="楷体" w:eastAsia="楷体" w:cs="楷体"/>
          <w:b/>
          <w:bCs/>
          <w:sz w:val="32"/>
          <w:szCs w:val="32"/>
        </w:rPr>
      </w:pPr>
      <w:bookmarkStart w:id="1" w:name="_GoBack"/>
      <w:bookmarkEnd w:id="1"/>
      <w:r>
        <w:rPr>
          <w:rFonts w:hint="eastAsia" w:ascii="楷体" w:hAnsi="楷体" w:eastAsia="楷体" w:cs="楷体"/>
          <w:b/>
          <w:bCs/>
          <w:kern w:val="2"/>
          <w:sz w:val="32"/>
          <w:szCs w:val="32"/>
          <w:lang w:val="en-US" w:eastAsia="zh-CN" w:bidi="ar-SA"/>
        </w:rPr>
        <w:t>（二）</w:t>
      </w:r>
      <w:r>
        <w:rPr>
          <w:rFonts w:hint="eastAsia" w:ascii="楷体" w:hAnsi="楷体" w:eastAsia="楷体" w:cs="楷体"/>
          <w:b/>
          <w:bCs/>
          <w:sz w:val="32"/>
          <w:szCs w:val="32"/>
        </w:rPr>
        <w:t>安全保障</w:t>
      </w:r>
    </w:p>
    <w:p w14:paraId="693269FE">
      <w:pPr>
        <w:numPr>
          <w:numId w:val="0"/>
        </w:numPr>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数据安全</w:t>
      </w:r>
      <w:r>
        <w:rPr>
          <w:rFonts w:ascii="仿宋" w:hAnsi="仿宋" w:eastAsia="仿宋" w:cs="仿宋"/>
          <w:color w:val="000000"/>
          <w:sz w:val="32"/>
          <w:szCs w:val="32"/>
          <w:lang w:bidi="ar"/>
        </w:rPr>
        <w:t>：</w:t>
      </w:r>
      <w:r>
        <w:rPr>
          <w:rFonts w:hint="eastAsia" w:ascii="仿宋" w:hAnsi="仿宋" w:eastAsia="仿宋" w:cs="仿宋"/>
          <w:color w:val="000000"/>
          <w:sz w:val="32"/>
          <w:szCs w:val="32"/>
          <w:lang w:bidi="ar"/>
        </w:rPr>
        <w:t>提供符合</w:t>
      </w:r>
      <w:r>
        <w:rPr>
          <w:rFonts w:hint="eastAsia" w:ascii="仿宋" w:hAnsi="仿宋" w:eastAsia="仿宋" w:cs="仿宋"/>
          <w:color w:val="000000"/>
          <w:sz w:val="32"/>
          <w:szCs w:val="32"/>
          <w:lang w:val="en-US" w:eastAsia="zh-CN" w:bidi="ar"/>
        </w:rPr>
        <w:t>院方</w:t>
      </w:r>
      <w:r>
        <w:rPr>
          <w:rFonts w:hint="eastAsia" w:ascii="仿宋" w:hAnsi="仿宋" w:eastAsia="仿宋" w:cs="仿宋"/>
          <w:color w:val="000000"/>
          <w:sz w:val="32"/>
          <w:szCs w:val="32"/>
          <w:lang w:bidi="ar"/>
        </w:rPr>
        <w:t>要求的安全机制确保本系统及所连接的系统的数据安全，保证数据不被非法利用和盗用</w:t>
      </w:r>
      <w:r>
        <w:rPr>
          <w:rFonts w:ascii="仿宋" w:hAnsi="仿宋" w:eastAsia="仿宋" w:cs="仿宋"/>
          <w:color w:val="000000"/>
          <w:sz w:val="32"/>
          <w:szCs w:val="32"/>
          <w:lang w:bidi="ar"/>
        </w:rPr>
        <w:t>，提供数据备份与恢复方案，确保数据不丢失、不泄露。</w:t>
      </w:r>
    </w:p>
    <w:p w14:paraId="25545558">
      <w:pPr>
        <w:widowControl/>
        <w:spacing w:line="360" w:lineRule="auto"/>
        <w:ind w:firstLine="640" w:firstLineChars="200"/>
        <w:jc w:val="left"/>
        <w:textAlignment w:val="center"/>
        <w:rPr>
          <w:rFonts w:ascii="仿宋" w:hAnsi="仿宋" w:eastAsia="仿宋" w:cs="仿宋"/>
          <w:color w:val="000000"/>
          <w:sz w:val="32"/>
          <w:szCs w:val="32"/>
          <w:lang w:bidi="ar"/>
        </w:rPr>
      </w:pPr>
      <w:r>
        <w:rPr>
          <w:rFonts w:ascii="仿宋" w:hAnsi="仿宋" w:eastAsia="仿宋" w:cs="仿宋"/>
          <w:color w:val="000000"/>
          <w:sz w:val="32"/>
          <w:szCs w:val="32"/>
          <w:lang w:bidi="ar"/>
        </w:rPr>
        <w:t>服务安全：提供 7×24 小时安全监控，发生安全事件1小时内响应，4小时内提出解决方案。</w:t>
      </w:r>
    </w:p>
    <w:p w14:paraId="1EFF4142">
      <w:pPr>
        <w:pStyle w:val="21"/>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）服务期要求</w:t>
      </w:r>
    </w:p>
    <w:p w14:paraId="7CD9A18F">
      <w:pPr>
        <w:pStyle w:val="26"/>
        <w:spacing w:line="360" w:lineRule="auto"/>
        <w:ind w:left="0" w:firstLine="640" w:firstLineChars="200"/>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院感与传染病系统维保服务项目总服务期为三年，招标结束后签订一年的服务合同，采购人对于本年度根据中标人服务团队稳定性、日常需求与问题解决的及时性、相关人员系统操作培训、技术支持服务能力，考核合格后再续签下一年度技术服务合同。每年服务期满并考核合格后甲方与乙方续签下一年服务合同，按同等价格可续签两次。</w:t>
      </w:r>
    </w:p>
    <w:p w14:paraId="0DE557D2">
      <w:pPr>
        <w:pStyle w:val="21"/>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）付款方式要求</w:t>
      </w:r>
    </w:p>
    <w:tbl>
      <w:tblPr>
        <w:tblStyle w:val="29"/>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030"/>
        <w:gridCol w:w="5489"/>
      </w:tblGrid>
      <w:tr w14:paraId="66924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778" w:type="pct"/>
            <w:tcBorders>
              <w:top w:val="single" w:color="auto" w:sz="4" w:space="0"/>
              <w:left w:val="single" w:color="auto" w:sz="4" w:space="0"/>
              <w:bottom w:val="single" w:color="auto" w:sz="4" w:space="0"/>
              <w:right w:val="single" w:color="auto" w:sz="4" w:space="0"/>
            </w:tcBorders>
            <w:vAlign w:val="center"/>
          </w:tcPr>
          <w:p w14:paraId="663CB7C5">
            <w:pPr>
              <w:pStyle w:val="26"/>
              <w:spacing w:line="360" w:lineRule="auto"/>
              <w:ind w:left="0" w:leftChars="0" w:firstLine="0" w:firstLineChars="0"/>
              <w:jc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bidi="ar"/>
              </w:rPr>
              <w:t>付款比例（%）</w:t>
            </w:r>
          </w:p>
        </w:tc>
        <w:tc>
          <w:tcPr>
            <w:tcW w:w="3221" w:type="pct"/>
            <w:tcBorders>
              <w:top w:val="single" w:color="auto" w:sz="4" w:space="0"/>
              <w:left w:val="single" w:color="auto" w:sz="4" w:space="0"/>
              <w:bottom w:val="single" w:color="auto" w:sz="4" w:space="0"/>
              <w:right w:val="single" w:color="auto" w:sz="4" w:space="0"/>
            </w:tcBorders>
            <w:vAlign w:val="center"/>
          </w:tcPr>
          <w:p w14:paraId="4262E259">
            <w:pPr>
              <w:pStyle w:val="26"/>
              <w:spacing w:line="360" w:lineRule="auto"/>
              <w:ind w:left="0" w:leftChars="0" w:firstLine="0" w:firstLineChars="0"/>
              <w:jc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付款条件</w:t>
            </w:r>
          </w:p>
        </w:tc>
      </w:tr>
      <w:tr w14:paraId="404C3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778" w:type="pct"/>
            <w:tcBorders>
              <w:top w:val="single" w:color="auto" w:sz="4" w:space="0"/>
              <w:left w:val="single" w:color="auto" w:sz="4" w:space="0"/>
              <w:bottom w:val="single" w:color="auto" w:sz="4" w:space="0"/>
              <w:right w:val="single" w:color="auto" w:sz="4" w:space="0"/>
            </w:tcBorders>
            <w:vAlign w:val="center"/>
          </w:tcPr>
          <w:p w14:paraId="1E0DF521">
            <w:pPr>
              <w:pStyle w:val="26"/>
              <w:spacing w:line="360" w:lineRule="auto"/>
              <w:ind w:left="0" w:leftChars="0" w:firstLine="0" w:firstLineChars="0"/>
              <w:jc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val="en-US" w:eastAsia="zh-CN" w:bidi="ar"/>
              </w:rPr>
              <w:t>10</w:t>
            </w:r>
            <w:r>
              <w:rPr>
                <w:rFonts w:hint="eastAsia" w:ascii="仿宋" w:hAnsi="仿宋" w:eastAsia="仿宋" w:cs="仿宋"/>
                <w:color w:val="000000"/>
                <w:sz w:val="24"/>
                <w:szCs w:val="24"/>
                <w:lang w:bidi="ar"/>
              </w:rPr>
              <w:t>0.00</w:t>
            </w:r>
          </w:p>
        </w:tc>
        <w:tc>
          <w:tcPr>
            <w:tcW w:w="3221" w:type="pct"/>
            <w:tcBorders>
              <w:top w:val="single" w:color="auto" w:sz="4" w:space="0"/>
              <w:left w:val="single" w:color="auto" w:sz="4" w:space="0"/>
              <w:bottom w:val="single" w:color="auto" w:sz="4" w:space="0"/>
              <w:right w:val="single" w:color="auto" w:sz="4" w:space="0"/>
            </w:tcBorders>
            <w:vAlign w:val="center"/>
          </w:tcPr>
          <w:p w14:paraId="1881A2B8">
            <w:pPr>
              <w:pStyle w:val="26"/>
              <w:spacing w:line="360" w:lineRule="auto"/>
              <w:ind w:left="0" w:leftChars="0" w:firstLine="0" w:firstLineChars="0"/>
              <w:jc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合同签订后30日内</w:t>
            </w:r>
          </w:p>
        </w:tc>
      </w:tr>
    </w:tbl>
    <w:p w14:paraId="351D42A0">
      <w:pPr>
        <w:spacing w:line="360" w:lineRule="auto"/>
        <w:ind w:firstLine="643" w:firstLineChars="200"/>
        <w:rPr>
          <w:rFonts w:ascii="宋体" w:hAnsi="宋体" w:eastAsia="宋体"/>
          <w:b/>
          <w:bCs/>
          <w:sz w:val="28"/>
          <w:szCs w:val="32"/>
        </w:rPr>
      </w:pPr>
      <w:bookmarkStart w:id="0" w:name="_Toc16687"/>
      <w:bookmarkEnd w:id="0"/>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项目标准</w:t>
      </w:r>
    </w:p>
    <w:p w14:paraId="174D7B53">
      <w:pPr>
        <w:widowControl/>
        <w:spacing w:line="360" w:lineRule="auto"/>
        <w:ind w:firstLine="640" w:firstLineChars="200"/>
        <w:jc w:val="left"/>
        <w:textAlignment w:val="center"/>
        <w:rPr>
          <w:rFonts w:ascii="仿宋" w:hAnsi="仿宋" w:eastAsia="仿宋" w:cs="仿宋"/>
          <w:color w:val="000000"/>
          <w:sz w:val="32"/>
          <w:szCs w:val="32"/>
          <w:lang w:bidi="ar"/>
        </w:rPr>
      </w:pPr>
      <w:r>
        <w:rPr>
          <w:rFonts w:hint="eastAsia" w:ascii="仿宋" w:hAnsi="仿宋" w:eastAsia="仿宋" w:cs="仿宋"/>
          <w:color w:val="000000"/>
          <w:sz w:val="32"/>
          <w:szCs w:val="32"/>
          <w:lang w:bidi="ar"/>
        </w:rPr>
        <w:t>中标人需确定项目唯一对接人，且保证本次技术服务完全符合合同规定的要求，并在服务期间内应对服务过程中的缺陷而产生的问题负责。</w:t>
      </w:r>
    </w:p>
    <w:p w14:paraId="6DC36BA4">
      <w:pPr>
        <w:widowControl/>
        <w:spacing w:line="360" w:lineRule="auto"/>
        <w:ind w:firstLine="640" w:firstLineChars="200"/>
        <w:jc w:val="left"/>
        <w:textAlignment w:val="center"/>
        <w:rPr>
          <w:rFonts w:ascii="仿宋" w:hAnsi="仿宋" w:eastAsia="仿宋" w:cs="仿宋"/>
          <w:color w:val="000000"/>
          <w:sz w:val="32"/>
          <w:szCs w:val="32"/>
          <w:lang w:bidi="ar"/>
        </w:rPr>
      </w:pPr>
      <w:r>
        <w:rPr>
          <w:rFonts w:hint="eastAsia" w:ascii="仿宋" w:hAnsi="仿宋" w:eastAsia="仿宋" w:cs="仿宋"/>
          <w:color w:val="000000"/>
          <w:sz w:val="32"/>
          <w:szCs w:val="32"/>
          <w:lang w:bidi="ar"/>
        </w:rPr>
        <w:t>应建立严格的质量保证体系，制定项目实施质量控制方案和实施措施，并督促落实各环节质量控制内容和目标；保证总体规划、实施、系统运行与验收各个阶段工作满足采购人对质量的要求。</w:t>
      </w:r>
    </w:p>
    <w:p w14:paraId="14384AB6">
      <w:pPr>
        <w:widowControl/>
        <w:spacing w:line="360" w:lineRule="auto"/>
        <w:ind w:firstLine="640" w:firstLineChars="200"/>
        <w:jc w:val="left"/>
        <w:textAlignment w:val="center"/>
        <w:rPr>
          <w:rFonts w:ascii="仿宋" w:hAnsi="仿宋" w:eastAsia="仿宋" w:cs="仿宋"/>
          <w:color w:val="000000"/>
          <w:sz w:val="32"/>
          <w:szCs w:val="32"/>
          <w:lang w:bidi="ar"/>
        </w:rPr>
      </w:pPr>
      <w:r>
        <w:rPr>
          <w:rFonts w:hint="eastAsia" w:ascii="仿宋" w:hAnsi="仿宋" w:eastAsia="仿宋" w:cs="仿宋"/>
          <w:color w:val="000000"/>
          <w:sz w:val="32"/>
          <w:szCs w:val="32"/>
          <w:lang w:bidi="ar"/>
        </w:rPr>
        <w:t>中标人应根据整个技术服务的工作计划，对阶段性工作成果进行审查和测试，并向采购人提交里程碑式工作成果。通过保证各阶段性成果的质量，最终保证整个系统实施的质量。</w:t>
      </w:r>
    </w:p>
    <w:p w14:paraId="2E5D6F97">
      <w:pPr>
        <w:numPr>
          <w:ilvl w:val="0"/>
          <w:numId w:val="0"/>
        </w:numPr>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kern w:val="2"/>
          <w:sz w:val="32"/>
          <w:szCs w:val="32"/>
          <w:lang w:val="en-US" w:eastAsia="zh-CN" w:bidi="ar-SA"/>
        </w:rPr>
        <w:t>四、</w:t>
      </w:r>
      <w:r>
        <w:rPr>
          <w:rFonts w:hint="eastAsia" w:ascii="黑体" w:hAnsi="黑体" w:eastAsia="黑体" w:cs="黑体"/>
          <w:b/>
          <w:bCs/>
          <w:sz w:val="32"/>
          <w:szCs w:val="32"/>
        </w:rPr>
        <w:t>供应商应提交的商务和技术响应文件</w:t>
      </w:r>
    </w:p>
    <w:p w14:paraId="2D656FA0">
      <w:pPr>
        <w:pStyle w:val="21"/>
        <w:spacing w:line="360" w:lineRule="auto"/>
        <w:ind w:firstLine="420" w:firstLineChars="0"/>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基本文件</w:t>
      </w:r>
    </w:p>
    <w:p w14:paraId="6C3F8675">
      <w:pPr>
        <w:pStyle w:val="2"/>
        <w:spacing w:line="360" w:lineRule="auto"/>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*法定代表人（或负责人）授权书</w:t>
      </w:r>
    </w:p>
    <w:p w14:paraId="1CD4D90B">
      <w:pPr>
        <w:pStyle w:val="2"/>
        <w:spacing w:line="360" w:lineRule="auto"/>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*响应函</w:t>
      </w:r>
    </w:p>
    <w:p w14:paraId="0899762F">
      <w:pPr>
        <w:pStyle w:val="2"/>
        <w:spacing w:line="360" w:lineRule="auto"/>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*报价一览表</w:t>
      </w:r>
    </w:p>
    <w:p w14:paraId="3EF8EB5F">
      <w:pPr>
        <w:pStyle w:val="21"/>
        <w:spacing w:line="360" w:lineRule="auto"/>
        <w:ind w:firstLine="420" w:firstLineChars="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（二）资格证明文件</w:t>
      </w:r>
    </w:p>
    <w:p w14:paraId="7F50A24B">
      <w:pPr>
        <w:pStyle w:val="3"/>
        <w:spacing w:line="360" w:lineRule="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1、*供应商的营业执照（需提供工商行政管理部门核发加载统一社会信用代码的营业执照）（复印件加盖公章）</w:t>
      </w:r>
    </w:p>
    <w:p w14:paraId="576C9C97">
      <w:pPr>
        <w:pStyle w:val="3"/>
        <w:spacing w:line="360" w:lineRule="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*供应商提供评审日前3年内在经营活动中没有重大违法记录的书面声明（原件，格式自拟）</w:t>
      </w:r>
    </w:p>
    <w:p w14:paraId="40E953DC">
      <w:pPr>
        <w:pStyle w:val="3"/>
        <w:spacing w:line="360" w:lineRule="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*具有履行合同所必需的设备和专业技术能力，并出具资格声明</w:t>
      </w:r>
    </w:p>
    <w:p w14:paraId="50410F22">
      <w:pPr>
        <w:pStyle w:val="3"/>
        <w:spacing w:line="360" w:lineRule="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*依法缴纳税收和社会保障资金的良好记录（须提供本公告发布之日前6个月内，任一月的社保和纳税缴纳凭证复印件并加盖公章）</w:t>
      </w:r>
    </w:p>
    <w:p w14:paraId="0006008C">
      <w:pPr>
        <w:pStyle w:val="3"/>
        <w:spacing w:line="360" w:lineRule="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5、</w:t>
      </w:r>
      <w:r>
        <w:rPr>
          <w:rFonts w:hint="eastAsia" w:ascii="仿宋" w:hAnsi="仿宋" w:eastAsia="仿宋" w:cs="仿宋"/>
          <w:bCs/>
          <w:color w:val="000000"/>
          <w:sz w:val="32"/>
          <w:szCs w:val="32"/>
        </w:rPr>
        <w:t>*银行出具的资信证明（提供本年度开具的资信证明原件或复印件）或上一年度会计师事务所出具的财务审计报告（包含资产负债表、利润表、现金流量表及其附注）</w:t>
      </w:r>
    </w:p>
    <w:p w14:paraId="148A7F13">
      <w:pPr>
        <w:pStyle w:val="3"/>
        <w:spacing w:line="360" w:lineRule="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6、</w:t>
      </w:r>
      <w:r>
        <w:rPr>
          <w:rFonts w:hint="eastAsia" w:ascii="仿宋" w:hAnsi="仿宋" w:eastAsia="仿宋" w:cs="仿宋"/>
          <w:bCs/>
          <w:color w:val="000000"/>
          <w:sz w:val="32"/>
          <w:szCs w:val="32"/>
        </w:rPr>
        <w:t>*供应商须提供中小企业声明函</w:t>
      </w:r>
    </w:p>
    <w:p w14:paraId="1534A926">
      <w:pPr>
        <w:pStyle w:val="21"/>
        <w:spacing w:line="360" w:lineRule="auto"/>
        <w:ind w:firstLine="420" w:firstLineChars="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（三）商务和技术响应文件</w:t>
      </w:r>
    </w:p>
    <w:p w14:paraId="334BCA40">
      <w:pPr>
        <w:pStyle w:val="3"/>
        <w:spacing w:line="360" w:lineRule="auto"/>
        <w:ind w:left="0" w:leftChars="0"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*商务条款、技术规格偏离表</w:t>
      </w:r>
    </w:p>
    <w:p w14:paraId="2AE00656">
      <w:pPr>
        <w:pStyle w:val="3"/>
        <w:spacing w:line="360" w:lineRule="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服务规范文件</w:t>
      </w:r>
    </w:p>
    <w:p w14:paraId="4B538A2B">
      <w:pPr>
        <w:pStyle w:val="3"/>
        <w:spacing w:line="360" w:lineRule="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人员证明文件（人员清单、在岗证明文件，原件加盖公章）</w:t>
      </w:r>
    </w:p>
    <w:p w14:paraId="7E9838E1">
      <w:pPr>
        <w:pStyle w:val="3"/>
        <w:spacing w:line="360" w:lineRule="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供应商认为需要提交的其他证明文件</w:t>
      </w:r>
    </w:p>
    <w:p w14:paraId="74CF1D03">
      <w:pPr>
        <w:spacing w:line="360" w:lineRule="auto"/>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上述文件带*的条款为供应商必须达到的资质要求，如有任意一条未实质响应将按无效处理。</w:t>
      </w:r>
    </w:p>
    <w:p w14:paraId="37D5FABA">
      <w:pPr>
        <w:pStyle w:val="21"/>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DB"/>
    <w:rsid w:val="00032DDC"/>
    <w:rsid w:val="00046DEC"/>
    <w:rsid w:val="00047EEB"/>
    <w:rsid w:val="00074DC3"/>
    <w:rsid w:val="00080EC6"/>
    <w:rsid w:val="00096612"/>
    <w:rsid w:val="000C1733"/>
    <w:rsid w:val="00126111"/>
    <w:rsid w:val="001445D1"/>
    <w:rsid w:val="00174200"/>
    <w:rsid w:val="0019794C"/>
    <w:rsid w:val="001A508E"/>
    <w:rsid w:val="001B1ED4"/>
    <w:rsid w:val="00207952"/>
    <w:rsid w:val="00242B2E"/>
    <w:rsid w:val="002652B2"/>
    <w:rsid w:val="00275E0E"/>
    <w:rsid w:val="00283175"/>
    <w:rsid w:val="00283B8E"/>
    <w:rsid w:val="0029082C"/>
    <w:rsid w:val="00293A9C"/>
    <w:rsid w:val="002A163C"/>
    <w:rsid w:val="002A6942"/>
    <w:rsid w:val="002E0440"/>
    <w:rsid w:val="002E1276"/>
    <w:rsid w:val="002F3B27"/>
    <w:rsid w:val="00304842"/>
    <w:rsid w:val="00307A16"/>
    <w:rsid w:val="003168B0"/>
    <w:rsid w:val="00376548"/>
    <w:rsid w:val="003A0349"/>
    <w:rsid w:val="003A75D6"/>
    <w:rsid w:val="003B0016"/>
    <w:rsid w:val="003C6576"/>
    <w:rsid w:val="003E73F5"/>
    <w:rsid w:val="003F4440"/>
    <w:rsid w:val="00410CF0"/>
    <w:rsid w:val="00421E9F"/>
    <w:rsid w:val="00423E9A"/>
    <w:rsid w:val="00433671"/>
    <w:rsid w:val="004349DE"/>
    <w:rsid w:val="00474C61"/>
    <w:rsid w:val="00480A90"/>
    <w:rsid w:val="004914EA"/>
    <w:rsid w:val="00495CF3"/>
    <w:rsid w:val="004A0864"/>
    <w:rsid w:val="004B4CFC"/>
    <w:rsid w:val="00501991"/>
    <w:rsid w:val="0051759F"/>
    <w:rsid w:val="005253C1"/>
    <w:rsid w:val="00530787"/>
    <w:rsid w:val="005553ED"/>
    <w:rsid w:val="005556F0"/>
    <w:rsid w:val="00586361"/>
    <w:rsid w:val="005A1BAE"/>
    <w:rsid w:val="005B6FE8"/>
    <w:rsid w:val="005C2165"/>
    <w:rsid w:val="005C3393"/>
    <w:rsid w:val="005F3C92"/>
    <w:rsid w:val="005F5FB8"/>
    <w:rsid w:val="0061092D"/>
    <w:rsid w:val="00636817"/>
    <w:rsid w:val="00637661"/>
    <w:rsid w:val="006640BF"/>
    <w:rsid w:val="006800B4"/>
    <w:rsid w:val="006A6972"/>
    <w:rsid w:val="006B3F65"/>
    <w:rsid w:val="006C4C25"/>
    <w:rsid w:val="00711589"/>
    <w:rsid w:val="00714238"/>
    <w:rsid w:val="0075268E"/>
    <w:rsid w:val="007831DB"/>
    <w:rsid w:val="00784FC3"/>
    <w:rsid w:val="00796531"/>
    <w:rsid w:val="007979C0"/>
    <w:rsid w:val="007A389C"/>
    <w:rsid w:val="007C6E79"/>
    <w:rsid w:val="007D37C1"/>
    <w:rsid w:val="007E1A1C"/>
    <w:rsid w:val="00822346"/>
    <w:rsid w:val="00825379"/>
    <w:rsid w:val="00857944"/>
    <w:rsid w:val="008A0B34"/>
    <w:rsid w:val="008B23CF"/>
    <w:rsid w:val="008B3ABB"/>
    <w:rsid w:val="008C05F3"/>
    <w:rsid w:val="008E5F2F"/>
    <w:rsid w:val="009036E9"/>
    <w:rsid w:val="00947261"/>
    <w:rsid w:val="00970E7B"/>
    <w:rsid w:val="009A35CB"/>
    <w:rsid w:val="009B74E6"/>
    <w:rsid w:val="00A02A14"/>
    <w:rsid w:val="00A157A7"/>
    <w:rsid w:val="00A47C72"/>
    <w:rsid w:val="00A648CE"/>
    <w:rsid w:val="00AB46EA"/>
    <w:rsid w:val="00AC36BB"/>
    <w:rsid w:val="00AE434D"/>
    <w:rsid w:val="00AE4A08"/>
    <w:rsid w:val="00AF629F"/>
    <w:rsid w:val="00B0087D"/>
    <w:rsid w:val="00B05285"/>
    <w:rsid w:val="00B07515"/>
    <w:rsid w:val="00B1628E"/>
    <w:rsid w:val="00B219AB"/>
    <w:rsid w:val="00B27615"/>
    <w:rsid w:val="00B65594"/>
    <w:rsid w:val="00BA1B6A"/>
    <w:rsid w:val="00BC08C1"/>
    <w:rsid w:val="00BE2F07"/>
    <w:rsid w:val="00C150B1"/>
    <w:rsid w:val="00C31FFA"/>
    <w:rsid w:val="00C446F7"/>
    <w:rsid w:val="00C56779"/>
    <w:rsid w:val="00CB212E"/>
    <w:rsid w:val="00CB4F33"/>
    <w:rsid w:val="00CB59C7"/>
    <w:rsid w:val="00CD10F2"/>
    <w:rsid w:val="00CD4AE9"/>
    <w:rsid w:val="00CD7D75"/>
    <w:rsid w:val="00CE253D"/>
    <w:rsid w:val="00D0332E"/>
    <w:rsid w:val="00D12B85"/>
    <w:rsid w:val="00D42E6F"/>
    <w:rsid w:val="00D55E1C"/>
    <w:rsid w:val="00D90015"/>
    <w:rsid w:val="00D92CDC"/>
    <w:rsid w:val="00DE2B37"/>
    <w:rsid w:val="00DE790A"/>
    <w:rsid w:val="00E22454"/>
    <w:rsid w:val="00E26A7E"/>
    <w:rsid w:val="00E352DF"/>
    <w:rsid w:val="00E92A19"/>
    <w:rsid w:val="00EA7434"/>
    <w:rsid w:val="00ED22B6"/>
    <w:rsid w:val="00ED262F"/>
    <w:rsid w:val="00EF0655"/>
    <w:rsid w:val="00F31BCA"/>
    <w:rsid w:val="00F45D5D"/>
    <w:rsid w:val="00F47373"/>
    <w:rsid w:val="00F629FE"/>
    <w:rsid w:val="00FB0D4A"/>
    <w:rsid w:val="00FC1C1F"/>
    <w:rsid w:val="09EA0C98"/>
    <w:rsid w:val="0EF56A7A"/>
    <w:rsid w:val="10613C9B"/>
    <w:rsid w:val="1332191F"/>
    <w:rsid w:val="15153F6A"/>
    <w:rsid w:val="16E15B36"/>
    <w:rsid w:val="17E7717C"/>
    <w:rsid w:val="18E30B32"/>
    <w:rsid w:val="191B532F"/>
    <w:rsid w:val="19BA0697"/>
    <w:rsid w:val="19E74EFE"/>
    <w:rsid w:val="1A2226ED"/>
    <w:rsid w:val="1D5A219E"/>
    <w:rsid w:val="22F32E79"/>
    <w:rsid w:val="25754019"/>
    <w:rsid w:val="2B620B9B"/>
    <w:rsid w:val="2C0F50D6"/>
    <w:rsid w:val="2E8B21B7"/>
    <w:rsid w:val="33D638D2"/>
    <w:rsid w:val="3A40479E"/>
    <w:rsid w:val="40866C82"/>
    <w:rsid w:val="40B01F51"/>
    <w:rsid w:val="42B6268A"/>
    <w:rsid w:val="44812D1D"/>
    <w:rsid w:val="456B28EB"/>
    <w:rsid w:val="48054931"/>
    <w:rsid w:val="4AE91548"/>
    <w:rsid w:val="50831533"/>
    <w:rsid w:val="522E0F28"/>
    <w:rsid w:val="54BA4CF5"/>
    <w:rsid w:val="58E9679B"/>
    <w:rsid w:val="58F9403E"/>
    <w:rsid w:val="5DAB05EC"/>
    <w:rsid w:val="643C6AED"/>
    <w:rsid w:val="686626D4"/>
    <w:rsid w:val="69564B94"/>
    <w:rsid w:val="69DA57C5"/>
    <w:rsid w:val="6A4B221F"/>
    <w:rsid w:val="6C9E6F7E"/>
    <w:rsid w:val="6D5128D0"/>
    <w:rsid w:val="731F7E30"/>
    <w:rsid w:val="737456F6"/>
    <w:rsid w:val="751A3D00"/>
    <w:rsid w:val="77BD2282"/>
    <w:rsid w:val="FDF5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35"/>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36"/>
    <w:unhideWhenUsed/>
    <w:qFormat/>
    <w:uiPriority w:val="9"/>
    <w:pPr>
      <w:keepNext/>
      <w:keepLines/>
      <w:spacing w:before="160" w:after="80"/>
      <w:outlineLvl w:val="2"/>
    </w:pPr>
    <w:rPr>
      <w:rFonts w:asciiTheme="majorHAnsi" w:hAnsiTheme="majorHAnsi" w:eastAsiaTheme="majorEastAsia" w:cstheme="majorBidi"/>
      <w:sz w:val="32"/>
      <w:szCs w:val="32"/>
    </w:rPr>
  </w:style>
  <w:style w:type="paragraph" w:styleId="7">
    <w:name w:val="heading 4"/>
    <w:basedOn w:val="1"/>
    <w:next w:val="1"/>
    <w:link w:val="37"/>
    <w:unhideWhenUsed/>
    <w:qFormat/>
    <w:uiPriority w:val="9"/>
    <w:pPr>
      <w:keepNext/>
      <w:keepLines/>
      <w:spacing w:before="80" w:after="40"/>
      <w:outlineLvl w:val="3"/>
    </w:pPr>
    <w:rPr>
      <w:rFonts w:eastAsia="仿宋" w:cstheme="majorBidi"/>
      <w:color w:val="000000" w:themeColor="text1"/>
      <w:sz w:val="28"/>
      <w:szCs w:val="28"/>
      <w14:textFill>
        <w14:solidFill>
          <w14:schemeClr w14:val="tx1"/>
        </w14:solidFill>
      </w14:textFill>
    </w:rPr>
  </w:style>
  <w:style w:type="paragraph" w:styleId="8">
    <w:name w:val="heading 5"/>
    <w:basedOn w:val="1"/>
    <w:next w:val="1"/>
    <w:link w:val="38"/>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9">
    <w:name w:val="heading 6"/>
    <w:basedOn w:val="1"/>
    <w:next w:val="1"/>
    <w:link w:val="39"/>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4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4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4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8"/>
    </w:rPr>
  </w:style>
  <w:style w:type="paragraph" w:customStyle="1" w:styleId="3">
    <w:name w:val="正文11"/>
    <w:qFormat/>
    <w:uiPriority w:val="0"/>
    <w:pPr>
      <w:widowControl w:val="0"/>
      <w:adjustRightInd w:val="0"/>
      <w:snapToGrid w:val="0"/>
      <w:spacing w:line="360" w:lineRule="auto"/>
      <w:ind w:firstLine="200" w:firstLineChars="200"/>
      <w:jc w:val="both"/>
    </w:pPr>
    <w:rPr>
      <w:rFonts w:ascii="Times New Roman" w:hAnsi="Times New Roman" w:eastAsia="宋体" w:cs="宋体"/>
      <w:kern w:val="2"/>
      <w:sz w:val="28"/>
      <w:lang w:val="en-US" w:eastAsia="zh-CN" w:bidi="ar-SA"/>
    </w:rPr>
  </w:style>
  <w:style w:type="paragraph" w:styleId="13">
    <w:name w:val="Normal Indent"/>
    <w:basedOn w:val="1"/>
    <w:unhideWhenUsed/>
    <w:qFormat/>
    <w:uiPriority w:val="0"/>
    <w:pPr>
      <w:ind w:firstLine="420" w:firstLineChars="200"/>
    </w:pPr>
    <w:rPr>
      <w:rFonts w:ascii="Calibri" w:hAnsi="Calibri" w:eastAsia="宋体" w:cs="Times New Roman"/>
      <w:szCs w:val="24"/>
    </w:rPr>
  </w:style>
  <w:style w:type="paragraph" w:styleId="14">
    <w:name w:val="caption"/>
    <w:basedOn w:val="1"/>
    <w:next w:val="1"/>
    <w:semiHidden/>
    <w:unhideWhenUsed/>
    <w:qFormat/>
    <w:uiPriority w:val="0"/>
    <w:pPr>
      <w:kinsoku w:val="0"/>
      <w:adjustRightInd w:val="0"/>
      <w:snapToGrid w:val="0"/>
      <w:ind w:firstLine="3584"/>
    </w:pPr>
    <w:rPr>
      <w:rFonts w:ascii="Arial" w:hAnsi="Arial" w:eastAsia="Arial" w:cs="Arial"/>
      <w:color w:val="000000"/>
      <w:kern w:val="0"/>
      <w:szCs w:val="21"/>
    </w:rPr>
  </w:style>
  <w:style w:type="paragraph" w:styleId="15">
    <w:name w:val="Document Map"/>
    <w:basedOn w:val="1"/>
    <w:next w:val="16"/>
    <w:qFormat/>
    <w:uiPriority w:val="0"/>
    <w:pPr>
      <w:ind w:left="102"/>
    </w:pPr>
    <w:rPr>
      <w:rFonts w:ascii="宋体"/>
      <w:sz w:val="18"/>
      <w:szCs w:val="18"/>
    </w:rPr>
  </w:style>
  <w:style w:type="paragraph" w:styleId="16">
    <w:name w:val="Body Text First Indent 2"/>
    <w:basedOn w:val="17"/>
    <w:next w:val="18"/>
    <w:qFormat/>
    <w:uiPriority w:val="0"/>
    <w:pPr>
      <w:ind w:firstLine="420" w:firstLineChars="200"/>
    </w:pPr>
  </w:style>
  <w:style w:type="paragraph" w:styleId="17">
    <w:name w:val="Body Text Indent"/>
    <w:basedOn w:val="1"/>
    <w:next w:val="1"/>
    <w:qFormat/>
    <w:uiPriority w:val="0"/>
    <w:pPr>
      <w:spacing w:after="120"/>
      <w:ind w:left="200" w:leftChars="200"/>
    </w:pPr>
  </w:style>
  <w:style w:type="paragraph" w:styleId="18">
    <w:name w:val="Body Text First Indent"/>
    <w:basedOn w:val="2"/>
    <w:next w:val="1"/>
    <w:qFormat/>
    <w:uiPriority w:val="0"/>
    <w:pPr>
      <w:spacing w:line="360" w:lineRule="auto"/>
      <w:ind w:firstLine="200" w:firstLineChars="200"/>
    </w:pPr>
    <w:rPr>
      <w:sz w:val="24"/>
      <w:szCs w:val="21"/>
    </w:rPr>
  </w:style>
  <w:style w:type="paragraph" w:styleId="19">
    <w:name w:val="Block Text"/>
    <w:basedOn w:val="1"/>
    <w:next w:val="15"/>
    <w:qFormat/>
    <w:uiPriority w:val="0"/>
    <w:pPr>
      <w:autoSpaceDE w:val="0"/>
      <w:autoSpaceDN w:val="0"/>
      <w:adjustRightInd w:val="0"/>
      <w:spacing w:line="500" w:lineRule="exact"/>
      <w:ind w:left="391" w:right="246"/>
    </w:pPr>
    <w:rPr>
      <w:rFonts w:ascii="仿宋_GB2312" w:eastAsia="仿宋_GB2312"/>
      <w:kern w:val="0"/>
      <w:sz w:val="24"/>
    </w:rPr>
  </w:style>
  <w:style w:type="paragraph" w:styleId="20">
    <w:name w:val="index 4"/>
    <w:basedOn w:val="1"/>
    <w:next w:val="1"/>
    <w:qFormat/>
    <w:uiPriority w:val="0"/>
    <w:pPr>
      <w:spacing w:line="360" w:lineRule="auto"/>
      <w:ind w:firstLine="800" w:firstLineChars="200"/>
    </w:pPr>
    <w:rPr>
      <w:rFonts w:ascii="Times New Roman" w:hAnsi="Times New Roman"/>
      <w:sz w:val="24"/>
    </w:rPr>
  </w:style>
  <w:style w:type="paragraph" w:styleId="21">
    <w:name w:val="Plain Text"/>
    <w:basedOn w:val="1"/>
    <w:link w:val="59"/>
    <w:autoRedefine/>
    <w:qFormat/>
    <w:uiPriority w:val="99"/>
    <w:pPr>
      <w:spacing w:line="460" w:lineRule="exact"/>
    </w:pPr>
    <w:rPr>
      <w:rFonts w:ascii="仿宋" w:hAnsi="仿宋" w:eastAsia="仿宋" w:cs="宋体"/>
      <w:sz w:val="28"/>
      <w:szCs w:val="28"/>
    </w:rPr>
  </w:style>
  <w:style w:type="paragraph" w:styleId="22">
    <w:name w:val="Date"/>
    <w:basedOn w:val="1"/>
    <w:next w:val="1"/>
    <w:link w:val="54"/>
    <w:semiHidden/>
    <w:unhideWhenUsed/>
    <w:qFormat/>
    <w:uiPriority w:val="99"/>
    <w:pPr>
      <w:ind w:left="100" w:leftChars="2500"/>
    </w:pPr>
  </w:style>
  <w:style w:type="paragraph" w:styleId="23">
    <w:name w:val="footer"/>
    <w:basedOn w:val="1"/>
    <w:link w:val="53"/>
    <w:unhideWhenUsed/>
    <w:qFormat/>
    <w:uiPriority w:val="99"/>
    <w:pPr>
      <w:tabs>
        <w:tab w:val="center" w:pos="4153"/>
        <w:tab w:val="right" w:pos="8306"/>
      </w:tabs>
      <w:snapToGrid w:val="0"/>
      <w:jc w:val="left"/>
    </w:pPr>
    <w:rPr>
      <w:sz w:val="18"/>
      <w:szCs w:val="18"/>
    </w:rPr>
  </w:style>
  <w:style w:type="paragraph" w:styleId="24">
    <w:name w:val="header"/>
    <w:basedOn w:val="1"/>
    <w:link w:val="52"/>
    <w:unhideWhenUsed/>
    <w:qFormat/>
    <w:uiPriority w:val="99"/>
    <w:pPr>
      <w:tabs>
        <w:tab w:val="center" w:pos="4153"/>
        <w:tab w:val="right" w:pos="8306"/>
      </w:tabs>
      <w:snapToGrid w:val="0"/>
      <w:jc w:val="center"/>
    </w:pPr>
    <w:rPr>
      <w:sz w:val="18"/>
      <w:szCs w:val="18"/>
    </w:rPr>
  </w:style>
  <w:style w:type="paragraph" w:styleId="25">
    <w:name w:val="Subtitle"/>
    <w:basedOn w:val="1"/>
    <w:next w:val="1"/>
    <w:link w:val="4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Body Text 2"/>
    <w:basedOn w:val="1"/>
    <w:next w:val="1"/>
    <w:qFormat/>
    <w:uiPriority w:val="0"/>
    <w:pPr>
      <w:spacing w:after="120" w:line="480" w:lineRule="auto"/>
      <w:ind w:left="102"/>
    </w:pPr>
  </w:style>
  <w:style w:type="paragraph" w:styleId="27">
    <w:name w:val="Normal (Web)"/>
    <w:basedOn w:val="1"/>
    <w:next w:val="19"/>
    <w:semiHidden/>
    <w:unhideWhenUsed/>
    <w:qFormat/>
    <w:uiPriority w:val="99"/>
    <w:rPr>
      <w:rFonts w:ascii="Times New Roman" w:hAnsi="Times New Roman" w:cs="Times New Roman"/>
      <w:sz w:val="24"/>
      <w:szCs w:val="24"/>
    </w:rPr>
  </w:style>
  <w:style w:type="paragraph" w:styleId="28">
    <w:name w:val="Title"/>
    <w:basedOn w:val="1"/>
    <w:next w:val="1"/>
    <w:link w:val="43"/>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30">
    <w:name w:val="Table Grid"/>
    <w:basedOn w:val="2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rPr>
  </w:style>
  <w:style w:type="paragraph" w:customStyle="1" w:styleId="33">
    <w:name w:val="_Style 12"/>
    <w:basedOn w:val="1"/>
    <w:next w:val="1"/>
    <w:autoRedefine/>
    <w:unhideWhenUsed/>
    <w:qFormat/>
    <w:uiPriority w:val="39"/>
    <w:pPr>
      <w:widowControl/>
      <w:tabs>
        <w:tab w:val="right" w:leader="dot" w:pos="8290"/>
      </w:tabs>
      <w:spacing w:beforeAutospacing="1" w:afterAutospacing="1" w:line="60" w:lineRule="auto"/>
      <w:ind w:left="450" w:leftChars="450" w:right="100" w:rightChars="100"/>
      <w:contextualSpacing/>
      <w:jc w:val="left"/>
    </w:pPr>
    <w:rPr>
      <w:rFonts w:ascii="Calibri" w:hAnsi="Calibri" w:eastAsia="宋体" w:cs="Times New Roman"/>
      <w:kern w:val="0"/>
      <w:sz w:val="22"/>
    </w:rPr>
  </w:style>
  <w:style w:type="character" w:customStyle="1" w:styleId="34">
    <w:name w:val="标题 1 字符"/>
    <w:basedOn w:val="31"/>
    <w:link w:val="4"/>
    <w:qFormat/>
    <w:uiPriority w:val="9"/>
    <w:rPr>
      <w:rFonts w:asciiTheme="majorHAnsi" w:hAnsiTheme="majorHAnsi" w:eastAsiaTheme="majorEastAsia" w:cstheme="majorBidi"/>
      <w:color w:val="104862" w:themeColor="accent1" w:themeShade="BF"/>
      <w:sz w:val="48"/>
      <w:szCs w:val="48"/>
    </w:rPr>
  </w:style>
  <w:style w:type="character" w:customStyle="1" w:styleId="35">
    <w:name w:val="标题 2 字符"/>
    <w:basedOn w:val="31"/>
    <w:link w:val="5"/>
    <w:qFormat/>
    <w:uiPriority w:val="9"/>
    <w:rPr>
      <w:rFonts w:asciiTheme="majorHAnsi" w:hAnsiTheme="majorHAnsi" w:eastAsiaTheme="majorEastAsia" w:cstheme="majorBidi"/>
      <w:color w:val="104862" w:themeColor="accent1" w:themeShade="BF"/>
      <w:sz w:val="40"/>
      <w:szCs w:val="40"/>
    </w:rPr>
  </w:style>
  <w:style w:type="character" w:customStyle="1" w:styleId="36">
    <w:name w:val="标题 3 字符"/>
    <w:basedOn w:val="31"/>
    <w:link w:val="6"/>
    <w:qFormat/>
    <w:uiPriority w:val="9"/>
    <w:rPr>
      <w:rFonts w:asciiTheme="majorHAnsi" w:hAnsiTheme="majorHAnsi" w:eastAsiaTheme="majorEastAsia" w:cstheme="majorBidi"/>
      <w:sz w:val="32"/>
      <w:szCs w:val="32"/>
    </w:rPr>
  </w:style>
  <w:style w:type="character" w:customStyle="1" w:styleId="37">
    <w:name w:val="标题 4 字符"/>
    <w:basedOn w:val="31"/>
    <w:link w:val="7"/>
    <w:qFormat/>
    <w:uiPriority w:val="9"/>
    <w:rPr>
      <w:rFonts w:eastAsia="仿宋" w:cstheme="majorBidi"/>
      <w:color w:val="000000" w:themeColor="text1"/>
      <w:sz w:val="28"/>
      <w:szCs w:val="28"/>
      <w14:textFill>
        <w14:solidFill>
          <w14:schemeClr w14:val="tx1"/>
        </w14:solidFill>
      </w14:textFill>
    </w:rPr>
  </w:style>
  <w:style w:type="character" w:customStyle="1" w:styleId="38">
    <w:name w:val="标题 5 字符"/>
    <w:basedOn w:val="31"/>
    <w:link w:val="8"/>
    <w:semiHidden/>
    <w:qFormat/>
    <w:uiPriority w:val="9"/>
    <w:rPr>
      <w:rFonts w:cstheme="majorBidi"/>
      <w:color w:val="104862" w:themeColor="accent1" w:themeShade="BF"/>
      <w:sz w:val="24"/>
      <w:szCs w:val="24"/>
    </w:rPr>
  </w:style>
  <w:style w:type="character" w:customStyle="1" w:styleId="39">
    <w:name w:val="标题 6 字符"/>
    <w:basedOn w:val="31"/>
    <w:link w:val="9"/>
    <w:semiHidden/>
    <w:uiPriority w:val="9"/>
    <w:rPr>
      <w:rFonts w:cstheme="majorBidi"/>
      <w:b/>
      <w:bCs/>
      <w:color w:val="104862" w:themeColor="accent1" w:themeShade="BF"/>
    </w:rPr>
  </w:style>
  <w:style w:type="character" w:customStyle="1" w:styleId="40">
    <w:name w:val="标题 7 字符"/>
    <w:basedOn w:val="31"/>
    <w:link w:val="10"/>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1">
    <w:name w:val="标题 8 字符"/>
    <w:basedOn w:val="31"/>
    <w:link w:val="11"/>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2">
    <w:name w:val="标题 9 字符"/>
    <w:basedOn w:val="31"/>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3">
    <w:name w:val="标题 字符"/>
    <w:basedOn w:val="31"/>
    <w:link w:val="28"/>
    <w:uiPriority w:val="10"/>
    <w:rPr>
      <w:rFonts w:asciiTheme="majorHAnsi" w:hAnsiTheme="majorHAnsi" w:eastAsiaTheme="majorEastAsia" w:cstheme="majorBidi"/>
      <w:spacing w:val="-10"/>
      <w:kern w:val="28"/>
      <w:sz w:val="56"/>
      <w:szCs w:val="56"/>
    </w:rPr>
  </w:style>
  <w:style w:type="character" w:customStyle="1" w:styleId="44">
    <w:name w:val="副标题 字符"/>
    <w:basedOn w:val="31"/>
    <w:link w:val="2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5">
    <w:name w:val="Quote"/>
    <w:basedOn w:val="1"/>
    <w:next w:val="1"/>
    <w:link w:val="4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6">
    <w:name w:val="引用 字符"/>
    <w:basedOn w:val="31"/>
    <w:link w:val="45"/>
    <w:qFormat/>
    <w:uiPriority w:val="29"/>
    <w:rPr>
      <w:i/>
      <w:iCs/>
      <w:color w:val="404040" w:themeColor="text1" w:themeTint="BF"/>
      <w14:textFill>
        <w14:solidFill>
          <w14:schemeClr w14:val="tx1">
            <w14:lumMod w14:val="75000"/>
            <w14:lumOff w14:val="25000"/>
          </w14:schemeClr>
        </w14:solidFill>
      </w14:textFill>
    </w:rPr>
  </w:style>
  <w:style w:type="paragraph" w:styleId="47">
    <w:name w:val="List Paragraph"/>
    <w:basedOn w:val="1"/>
    <w:qFormat/>
    <w:uiPriority w:val="34"/>
    <w:pPr>
      <w:ind w:left="720"/>
      <w:contextualSpacing/>
    </w:pPr>
  </w:style>
  <w:style w:type="character" w:customStyle="1" w:styleId="48">
    <w:name w:val="明显强调1"/>
    <w:basedOn w:val="31"/>
    <w:qFormat/>
    <w:uiPriority w:val="21"/>
    <w:rPr>
      <w:i/>
      <w:iCs/>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0">
    <w:name w:val="明显引用 字符"/>
    <w:basedOn w:val="31"/>
    <w:link w:val="49"/>
    <w:uiPriority w:val="30"/>
    <w:rPr>
      <w:i/>
      <w:iCs/>
      <w:color w:val="104862" w:themeColor="accent1" w:themeShade="BF"/>
    </w:rPr>
  </w:style>
  <w:style w:type="character" w:customStyle="1" w:styleId="51">
    <w:name w:val="明显参考1"/>
    <w:basedOn w:val="31"/>
    <w:qFormat/>
    <w:uiPriority w:val="32"/>
    <w:rPr>
      <w:b/>
      <w:bCs/>
      <w:smallCaps/>
      <w:color w:val="104862" w:themeColor="accent1" w:themeShade="BF"/>
      <w:spacing w:val="5"/>
    </w:rPr>
  </w:style>
  <w:style w:type="character" w:customStyle="1" w:styleId="52">
    <w:name w:val="页眉 字符"/>
    <w:basedOn w:val="31"/>
    <w:link w:val="24"/>
    <w:qFormat/>
    <w:uiPriority w:val="99"/>
    <w:rPr>
      <w:sz w:val="18"/>
      <w:szCs w:val="18"/>
    </w:rPr>
  </w:style>
  <w:style w:type="character" w:customStyle="1" w:styleId="53">
    <w:name w:val="页脚 字符"/>
    <w:basedOn w:val="31"/>
    <w:link w:val="23"/>
    <w:uiPriority w:val="99"/>
    <w:rPr>
      <w:sz w:val="18"/>
      <w:szCs w:val="18"/>
    </w:rPr>
  </w:style>
  <w:style w:type="character" w:customStyle="1" w:styleId="54">
    <w:name w:val="日期 字符"/>
    <w:basedOn w:val="31"/>
    <w:link w:val="22"/>
    <w:semiHidden/>
    <w:qFormat/>
    <w:uiPriority w:val="99"/>
  </w:style>
  <w:style w:type="paragraph" w:customStyle="1" w:styleId="55">
    <w:name w:val="p0"/>
    <w:basedOn w:val="1"/>
    <w:next w:val="56"/>
    <w:qFormat/>
    <w:uiPriority w:val="0"/>
    <w:pPr>
      <w:widowControl/>
      <w:spacing w:before="100" w:beforeAutospacing="1" w:after="100" w:afterAutospacing="1"/>
      <w:jc w:val="left"/>
    </w:pPr>
    <w:rPr>
      <w:rFonts w:ascii="宋体" w:cs="宋体"/>
      <w:kern w:val="0"/>
      <w:sz w:val="24"/>
    </w:rPr>
  </w:style>
  <w:style w:type="paragraph" w:customStyle="1" w:styleId="56">
    <w:name w:val="我的表名"/>
    <w:basedOn w:val="1"/>
    <w:next w:val="27"/>
    <w:qFormat/>
    <w:uiPriority w:val="0"/>
    <w:pPr>
      <w:spacing w:line="500" w:lineRule="exact"/>
      <w:ind w:firstLine="4608"/>
      <w:jc w:val="center"/>
    </w:pPr>
    <w:rPr>
      <w:rFonts w:ascii="宋体"/>
    </w:rPr>
  </w:style>
  <w:style w:type="paragraph" w:customStyle="1" w:styleId="57">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58">
    <w:name w:val="正文2"/>
    <w:qFormat/>
    <w:uiPriority w:val="0"/>
    <w:rPr>
      <w:rFonts w:ascii="Times New Roman" w:hAnsi="Times New Roman" w:eastAsia="Times New Roman" w:cs="Times New Roman"/>
      <w:sz w:val="24"/>
      <w:szCs w:val="24"/>
      <w:lang w:val="en-US" w:eastAsia="zh-CN" w:bidi="ar-SA"/>
    </w:rPr>
  </w:style>
  <w:style w:type="character" w:customStyle="1" w:styleId="59">
    <w:name w:val="纯文本 字符"/>
    <w:basedOn w:val="31"/>
    <w:link w:val="21"/>
    <w:qFormat/>
    <w:uiPriority w:val="99"/>
    <w:rPr>
      <w:rFonts w:ascii="仿宋" w:hAnsi="仿宋" w:eastAsia="仿宋" w:cs="宋体"/>
      <w:kern w:val="2"/>
      <w:sz w:val="28"/>
      <w:szCs w:val="28"/>
    </w:rPr>
  </w:style>
  <w:style w:type="paragraph" w:customStyle="1" w:styleId="60">
    <w:name w:val="null5"/>
    <w:hidden/>
    <w:uiPriority w:val="0"/>
    <w:rPr>
      <w:rFonts w:hint="eastAsia" w:asciiTheme="minorHAnsi" w:hAnsiTheme="minorHAnsi" w:eastAsiaTheme="minorEastAsia" w:cstheme="minorBidi"/>
      <w:lang w:val="en-US" w:eastAsia="zh-CN" w:bidi="ar-SA"/>
    </w:rPr>
  </w:style>
  <w:style w:type="character" w:customStyle="1" w:styleId="61">
    <w:name w:val="其他_"/>
    <w:basedOn w:val="31"/>
    <w:link w:val="62"/>
    <w:qFormat/>
    <w:uiPriority w:val="0"/>
    <w:rPr>
      <w:rFonts w:ascii="宋体" w:hAnsi="宋体" w:cs="宋体"/>
      <w:lang w:val="zh-CN" w:bidi="zh-CN"/>
    </w:rPr>
  </w:style>
  <w:style w:type="paragraph" w:customStyle="1" w:styleId="62">
    <w:name w:val="其他"/>
    <w:basedOn w:val="1"/>
    <w:link w:val="61"/>
    <w:qFormat/>
    <w:uiPriority w:val="0"/>
    <w:pPr>
      <w:spacing w:line="300" w:lineRule="auto"/>
      <w:jc w:val="left"/>
    </w:pPr>
    <w:rPr>
      <w:rFonts w:ascii="宋体" w:hAnsi="宋体" w:eastAsia="宋体" w:cs="宋体"/>
      <w:kern w:val="0"/>
      <w:sz w:val="20"/>
      <w:szCs w:val="20"/>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1717</Words>
  <Characters>1747</Characters>
  <Lines>31</Lines>
  <Paragraphs>8</Paragraphs>
  <TotalTime>15</TotalTime>
  <ScaleCrop>false</ScaleCrop>
  <LinksUpToDate>false</LinksUpToDate>
  <CharactersWithSpaces>1754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2025-07-17T08:47:00Z</dcterms:created>
  <dc:creator>JinKai</dc:creator>
  <cp:lastModifiedBy>A李宁</cp:lastModifiedBy>
  <dcterms:modified xsi:type="dcterms:W3CDTF">2025-12-04T02:27:33Z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eyJoZGlkIjoiNTg2OWQ3OTYzYzkxZTE5NWQwNDljOGY3ZjQzMWRjNjMiLCJ1c2VySWQiOiI0MDA1MTA1MjkifQ==</vt:lpwstr>
  </property>
  <property fmtid="{D5CDD505-2E9C-101B-9397-08002B2CF9AE}" pid="3" name="KSOProductBuildVer">
    <vt:lpwstr>2052-12.1.0.23542</vt:lpwstr>
  </property>
  <property fmtid="{D5CDD505-2E9C-101B-9397-08002B2CF9AE}" pid="4" name="ICV">
    <vt:lpwstr>B39988B606E54367BE426182B846D0CB_13</vt:lpwstr>
  </property>
</Properties>
</file>